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0229" w14:textId="418BB339" w:rsidR="00462A73" w:rsidRPr="001F3F98" w:rsidRDefault="00A67CD7" w:rsidP="00DE4C98">
      <w:pPr>
        <w:widowControl w:val="0"/>
        <w:spacing w:line="240" w:lineRule="auto"/>
        <w:ind w:left="3119"/>
        <w:rPr>
          <w:b/>
          <w:bCs/>
          <w:color w:val="auto"/>
          <w:sz w:val="26"/>
          <w:szCs w:val="26"/>
        </w:rPr>
      </w:pPr>
      <w:r>
        <w:rPr>
          <w:b/>
          <w:bCs/>
          <w:color w:val="auto"/>
          <w:sz w:val="26"/>
          <w:szCs w:val="26"/>
        </w:rPr>
        <w:t>RECURSO DE RECONSIDERACIÓN</w:t>
      </w:r>
    </w:p>
    <w:p w14:paraId="6AC10AFC" w14:textId="77777777" w:rsidR="00DE4C98" w:rsidRPr="00273A38" w:rsidRDefault="00DE4C98" w:rsidP="00DE4C98">
      <w:pPr>
        <w:widowControl w:val="0"/>
        <w:spacing w:line="240" w:lineRule="auto"/>
        <w:ind w:left="3119"/>
        <w:rPr>
          <w:b/>
          <w:bCs/>
          <w:color w:val="auto"/>
          <w:sz w:val="20"/>
          <w:szCs w:val="20"/>
        </w:rPr>
      </w:pPr>
    </w:p>
    <w:p w14:paraId="298AFB29" w14:textId="38FAEC0B" w:rsidR="00462A73" w:rsidRPr="00273A38" w:rsidRDefault="00462A73" w:rsidP="00DE4C98">
      <w:pPr>
        <w:widowControl w:val="0"/>
        <w:spacing w:line="240" w:lineRule="auto"/>
        <w:ind w:left="3119"/>
        <w:rPr>
          <w:color w:val="auto"/>
          <w:sz w:val="26"/>
          <w:szCs w:val="26"/>
        </w:rPr>
      </w:pPr>
      <w:r w:rsidRPr="00273A38">
        <w:rPr>
          <w:b/>
          <w:bCs/>
          <w:color w:val="auto"/>
          <w:sz w:val="26"/>
          <w:szCs w:val="26"/>
        </w:rPr>
        <w:t>EXPEDIENTE:</w:t>
      </w:r>
      <w:r w:rsidRPr="00273A38">
        <w:rPr>
          <w:color w:val="auto"/>
          <w:sz w:val="26"/>
          <w:szCs w:val="26"/>
        </w:rPr>
        <w:t xml:space="preserve"> SUP-</w:t>
      </w:r>
      <w:r w:rsidR="008010D1" w:rsidRPr="00273A38">
        <w:rPr>
          <w:color w:val="auto"/>
          <w:sz w:val="26"/>
          <w:szCs w:val="26"/>
        </w:rPr>
        <w:t>REC-</w:t>
      </w:r>
      <w:r w:rsidR="00064FA2" w:rsidRPr="00273A38">
        <w:rPr>
          <w:color w:val="auto"/>
          <w:sz w:val="26"/>
          <w:szCs w:val="26"/>
        </w:rPr>
        <w:t>2</w:t>
      </w:r>
      <w:r w:rsidR="00C9508D" w:rsidRPr="00273A38">
        <w:rPr>
          <w:color w:val="auto"/>
          <w:sz w:val="26"/>
          <w:szCs w:val="26"/>
        </w:rPr>
        <w:t>46</w:t>
      </w:r>
      <w:r w:rsidR="008010D1" w:rsidRPr="00273A38">
        <w:rPr>
          <w:color w:val="auto"/>
          <w:sz w:val="26"/>
          <w:szCs w:val="26"/>
        </w:rPr>
        <w:t>/2025</w:t>
      </w:r>
    </w:p>
    <w:p w14:paraId="4D85B634" w14:textId="77777777" w:rsidR="00DE4C98" w:rsidRPr="00A54F99" w:rsidRDefault="00DE4C98" w:rsidP="00DE4C98">
      <w:pPr>
        <w:widowControl w:val="0"/>
        <w:spacing w:line="240" w:lineRule="auto"/>
        <w:ind w:left="3119"/>
        <w:rPr>
          <w:b/>
          <w:bCs/>
          <w:color w:val="auto"/>
          <w:sz w:val="20"/>
          <w:szCs w:val="20"/>
        </w:rPr>
      </w:pPr>
    </w:p>
    <w:p w14:paraId="0C3A4646" w14:textId="49392746" w:rsidR="00FE0706" w:rsidRPr="000A072F" w:rsidRDefault="00A67CD7" w:rsidP="00DE4C98">
      <w:pPr>
        <w:widowControl w:val="0"/>
        <w:spacing w:line="240" w:lineRule="auto"/>
        <w:ind w:left="3119"/>
        <w:rPr>
          <w:color w:val="auto"/>
          <w:sz w:val="26"/>
          <w:szCs w:val="26"/>
        </w:rPr>
      </w:pPr>
      <w:r w:rsidRPr="00EC1AD4">
        <w:rPr>
          <w:b/>
          <w:bCs/>
          <w:color w:val="auto"/>
          <w:sz w:val="26"/>
          <w:szCs w:val="26"/>
        </w:rPr>
        <w:t>RECURRENTE</w:t>
      </w:r>
      <w:r w:rsidR="00EE6753" w:rsidRPr="00EC1AD4">
        <w:rPr>
          <w:b/>
          <w:bCs/>
          <w:color w:val="auto"/>
          <w:sz w:val="26"/>
          <w:szCs w:val="26"/>
        </w:rPr>
        <w:t>S</w:t>
      </w:r>
      <w:r w:rsidR="00462A73" w:rsidRPr="00EC1AD4">
        <w:rPr>
          <w:b/>
          <w:bCs/>
          <w:color w:val="auto"/>
          <w:sz w:val="26"/>
          <w:szCs w:val="26"/>
        </w:rPr>
        <w:t>:</w:t>
      </w:r>
      <w:r w:rsidR="00462A73" w:rsidRPr="00EC1AD4">
        <w:rPr>
          <w:color w:val="auto"/>
          <w:sz w:val="26"/>
          <w:szCs w:val="26"/>
        </w:rPr>
        <w:t xml:space="preserve"> </w:t>
      </w:r>
      <w:r w:rsidR="00386FEC" w:rsidRPr="002C43BF">
        <w:rPr>
          <w:color w:val="auto"/>
          <w:sz w:val="26"/>
          <w:szCs w:val="26"/>
        </w:rPr>
        <w:t>LORENA DEL CARMEN ALFARO GARCÍA</w:t>
      </w:r>
      <w:r w:rsidR="00386FEC" w:rsidRPr="000A072F">
        <w:rPr>
          <w:rStyle w:val="Refdenotaalpie"/>
          <w:color w:val="auto"/>
          <w:sz w:val="26"/>
          <w:szCs w:val="26"/>
        </w:rPr>
        <w:t xml:space="preserve"> </w:t>
      </w:r>
      <w:r w:rsidR="00646A55" w:rsidRPr="000A072F">
        <w:rPr>
          <w:rStyle w:val="Refdenotaalpie"/>
          <w:color w:val="auto"/>
          <w:sz w:val="26"/>
          <w:szCs w:val="26"/>
        </w:rPr>
        <w:footnoteReference w:id="1"/>
      </w:r>
    </w:p>
    <w:p w14:paraId="61715092" w14:textId="77777777" w:rsidR="00DE4C98" w:rsidRPr="00A54F99" w:rsidRDefault="00DE4C98" w:rsidP="00DE4C98">
      <w:pPr>
        <w:widowControl w:val="0"/>
        <w:spacing w:line="240" w:lineRule="auto"/>
        <w:ind w:left="3119"/>
        <w:rPr>
          <w:b/>
          <w:bCs/>
          <w:color w:val="auto"/>
          <w:sz w:val="20"/>
          <w:szCs w:val="20"/>
        </w:rPr>
      </w:pPr>
    </w:p>
    <w:p w14:paraId="1D64381C" w14:textId="714632B5" w:rsidR="00462A73" w:rsidRPr="001F3F98" w:rsidRDefault="007C4BD5" w:rsidP="009A31C8">
      <w:pPr>
        <w:widowControl w:val="0"/>
        <w:spacing w:line="240" w:lineRule="auto"/>
        <w:ind w:left="3119"/>
        <w:rPr>
          <w:color w:val="auto"/>
          <w:sz w:val="26"/>
          <w:szCs w:val="26"/>
        </w:rPr>
      </w:pPr>
      <w:r w:rsidRPr="001F3F98">
        <w:rPr>
          <w:b/>
          <w:bCs/>
          <w:color w:val="auto"/>
          <w:sz w:val="26"/>
          <w:szCs w:val="26"/>
        </w:rPr>
        <w:t>RESPONSABLE</w:t>
      </w:r>
      <w:r w:rsidR="00462A73" w:rsidRPr="001F3F98">
        <w:rPr>
          <w:b/>
          <w:bCs/>
          <w:color w:val="auto"/>
          <w:sz w:val="26"/>
          <w:szCs w:val="26"/>
        </w:rPr>
        <w:t>:</w:t>
      </w:r>
      <w:r w:rsidR="00462A73" w:rsidRPr="001F3F98">
        <w:rPr>
          <w:color w:val="auto"/>
          <w:sz w:val="26"/>
          <w:szCs w:val="26"/>
        </w:rPr>
        <w:t xml:space="preserve"> </w:t>
      </w:r>
      <w:r w:rsidR="00C7436F">
        <w:rPr>
          <w:color w:val="auto"/>
          <w:sz w:val="26"/>
          <w:szCs w:val="26"/>
        </w:rPr>
        <w:t>SALA REGIONAL</w:t>
      </w:r>
      <w:r w:rsidR="00706839">
        <w:rPr>
          <w:color w:val="auto"/>
          <w:sz w:val="26"/>
          <w:szCs w:val="26"/>
        </w:rPr>
        <w:t xml:space="preserve"> </w:t>
      </w:r>
      <w:r w:rsidR="00C7436F" w:rsidRPr="001F0A8F">
        <w:rPr>
          <w:color w:val="auto"/>
          <w:sz w:val="26"/>
          <w:szCs w:val="26"/>
        </w:rPr>
        <w:t xml:space="preserve">DEL TRIBUNAL ELECTORAL DEL PODER JUDICIAL DE LA FEDERACIÓN, CORRESPONDIENTE A </w:t>
      </w:r>
      <w:r w:rsidR="009A31C8" w:rsidRPr="009A31C8">
        <w:rPr>
          <w:color w:val="auto"/>
          <w:sz w:val="26"/>
          <w:szCs w:val="26"/>
        </w:rPr>
        <w:t>LA SEGUNDA CIRCUNSCRIPCIÓN PLURINOMINAL, CON SEDE EN</w:t>
      </w:r>
      <w:r w:rsidR="009A31C8">
        <w:rPr>
          <w:color w:val="auto"/>
          <w:sz w:val="26"/>
          <w:szCs w:val="26"/>
        </w:rPr>
        <w:t xml:space="preserve"> </w:t>
      </w:r>
      <w:r w:rsidR="009A31C8" w:rsidRPr="009A31C8">
        <w:rPr>
          <w:color w:val="auto"/>
          <w:sz w:val="26"/>
          <w:szCs w:val="26"/>
        </w:rPr>
        <w:t>MONTERREY, NUEVO LEÓN</w:t>
      </w:r>
      <w:r w:rsidR="00DE4D36">
        <w:rPr>
          <w:rStyle w:val="Refdenotaalpie"/>
          <w:color w:val="auto"/>
          <w:sz w:val="26"/>
          <w:szCs w:val="26"/>
        </w:rPr>
        <w:footnoteReference w:id="2"/>
      </w:r>
      <w:r w:rsidR="009A31C8">
        <w:rPr>
          <w:color w:val="auto"/>
          <w:sz w:val="26"/>
          <w:szCs w:val="26"/>
        </w:rPr>
        <w:t>.</w:t>
      </w:r>
      <w:r w:rsidR="009A31C8" w:rsidRPr="001F3F98">
        <w:rPr>
          <w:color w:val="auto"/>
          <w:sz w:val="26"/>
          <w:szCs w:val="26"/>
        </w:rPr>
        <w:t xml:space="preserve"> </w:t>
      </w:r>
    </w:p>
    <w:p w14:paraId="5EE27714" w14:textId="77777777" w:rsidR="00DE4C98" w:rsidRPr="00273A38" w:rsidRDefault="00DE4C98" w:rsidP="00DE4C98">
      <w:pPr>
        <w:widowControl w:val="0"/>
        <w:spacing w:line="240" w:lineRule="auto"/>
        <w:ind w:left="3119"/>
        <w:rPr>
          <w:b/>
          <w:bCs/>
          <w:color w:val="auto"/>
          <w:sz w:val="20"/>
          <w:szCs w:val="20"/>
        </w:rPr>
      </w:pPr>
    </w:p>
    <w:p w14:paraId="4BA7F6F8" w14:textId="62652FAA" w:rsidR="00462A73" w:rsidRDefault="00462A73" w:rsidP="00DE4C98">
      <w:pPr>
        <w:widowControl w:val="0"/>
        <w:spacing w:line="240" w:lineRule="auto"/>
        <w:ind w:left="3119"/>
        <w:rPr>
          <w:color w:val="auto"/>
          <w:sz w:val="26"/>
          <w:szCs w:val="26"/>
          <w:lang w:val="pt-PT"/>
        </w:rPr>
      </w:pPr>
      <w:r w:rsidRPr="001F3F98">
        <w:rPr>
          <w:b/>
          <w:bCs/>
          <w:color w:val="auto"/>
          <w:sz w:val="26"/>
          <w:szCs w:val="26"/>
          <w:lang w:val="pt-PT"/>
        </w:rPr>
        <w:t>MAGISTRADA PONENTE:</w:t>
      </w:r>
      <w:r w:rsidRPr="001F3F98">
        <w:rPr>
          <w:color w:val="auto"/>
          <w:sz w:val="26"/>
          <w:szCs w:val="26"/>
          <w:lang w:val="pt-PT"/>
        </w:rPr>
        <w:t xml:space="preserve"> MÓNICA ARALÍ SOTO FREGOSO</w:t>
      </w:r>
      <w:r w:rsidRPr="0036347A">
        <w:rPr>
          <w:rStyle w:val="Refdenotaalpie"/>
          <w:color w:val="auto"/>
          <w:sz w:val="26"/>
          <w:szCs w:val="26"/>
        </w:rPr>
        <w:footnoteReference w:id="3"/>
      </w:r>
    </w:p>
    <w:p w14:paraId="49000FF3" w14:textId="77777777" w:rsidR="00DE4C98" w:rsidRPr="00645539" w:rsidRDefault="00DE4C98" w:rsidP="00DE4C98">
      <w:pPr>
        <w:widowControl w:val="0"/>
        <w:rPr>
          <w:color w:val="auto"/>
          <w:sz w:val="16"/>
          <w:szCs w:val="16"/>
          <w:lang w:val="pt-PT"/>
        </w:rPr>
      </w:pPr>
    </w:p>
    <w:p w14:paraId="56C697B7" w14:textId="6779E4A7" w:rsidR="00051183" w:rsidRPr="00DE4C98" w:rsidRDefault="00051183" w:rsidP="00DE4C98">
      <w:pPr>
        <w:tabs>
          <w:tab w:val="left" w:pos="1215"/>
        </w:tabs>
        <w:rPr>
          <w:bCs/>
          <w:sz w:val="26"/>
          <w:szCs w:val="26"/>
          <w:lang w:val="es-419" w:eastAsia="es-MX"/>
        </w:rPr>
      </w:pPr>
      <w:r w:rsidRPr="00DE4C98">
        <w:rPr>
          <w:bCs/>
          <w:sz w:val="26"/>
          <w:szCs w:val="26"/>
          <w:lang w:val="es-419" w:eastAsia="es-MX"/>
        </w:rPr>
        <w:t xml:space="preserve">Ciudad de México a </w:t>
      </w:r>
      <w:r w:rsidR="00721AA6">
        <w:rPr>
          <w:bCs/>
          <w:sz w:val="26"/>
          <w:szCs w:val="26"/>
          <w:lang w:val="es-419" w:eastAsia="es-MX"/>
        </w:rPr>
        <w:t>veintitrés</w:t>
      </w:r>
      <w:r w:rsidRPr="00DE4C98">
        <w:rPr>
          <w:bCs/>
          <w:sz w:val="26"/>
          <w:szCs w:val="26"/>
          <w:lang w:val="es-419" w:eastAsia="es-MX"/>
        </w:rPr>
        <w:t xml:space="preserve"> de </w:t>
      </w:r>
      <w:r w:rsidR="00EC1AD4" w:rsidRPr="00DE4C98">
        <w:rPr>
          <w:bCs/>
          <w:sz w:val="26"/>
          <w:szCs w:val="26"/>
          <w:lang w:val="es-419" w:eastAsia="es-MX"/>
        </w:rPr>
        <w:t>julio</w:t>
      </w:r>
      <w:r w:rsidRPr="00DE4C98">
        <w:rPr>
          <w:bCs/>
          <w:sz w:val="26"/>
          <w:szCs w:val="26"/>
          <w:lang w:val="es-419" w:eastAsia="es-MX"/>
        </w:rPr>
        <w:t xml:space="preserve"> de dos mil veinticinco</w:t>
      </w:r>
      <w:r w:rsidR="00E5254D">
        <w:rPr>
          <w:rStyle w:val="Refdenotaalpie"/>
          <w:bCs/>
          <w:sz w:val="26"/>
          <w:szCs w:val="26"/>
          <w:lang w:val="es-419" w:eastAsia="es-MX"/>
        </w:rPr>
        <w:footnoteReference w:id="4"/>
      </w:r>
      <w:r w:rsidRPr="00DE4C98">
        <w:rPr>
          <w:bCs/>
          <w:sz w:val="26"/>
          <w:szCs w:val="26"/>
          <w:lang w:val="es-419" w:eastAsia="es-MX"/>
        </w:rPr>
        <w:t>.</w:t>
      </w:r>
    </w:p>
    <w:p w14:paraId="4B387A53" w14:textId="77777777" w:rsidR="00051183" w:rsidRPr="00B8035A" w:rsidRDefault="00051183" w:rsidP="00DE4C98">
      <w:pPr>
        <w:tabs>
          <w:tab w:val="left" w:pos="1215"/>
        </w:tabs>
        <w:rPr>
          <w:bCs/>
          <w:sz w:val="16"/>
          <w:szCs w:val="16"/>
          <w:lang w:val="es-419" w:eastAsia="es-MX"/>
        </w:rPr>
      </w:pPr>
    </w:p>
    <w:p w14:paraId="6C938F88" w14:textId="53A35EB3" w:rsidR="00245DB9" w:rsidRDefault="008010D1" w:rsidP="00DE4C98">
      <w:pPr>
        <w:tabs>
          <w:tab w:val="left" w:pos="1215"/>
        </w:tabs>
        <w:rPr>
          <w:rFonts w:eastAsia="Calibri"/>
          <w:sz w:val="26"/>
          <w:szCs w:val="26"/>
          <w:lang w:val="es-ES"/>
        </w:rPr>
      </w:pPr>
      <w:r w:rsidRPr="00DE4C98">
        <w:rPr>
          <w:bCs/>
          <w:sz w:val="26"/>
          <w:szCs w:val="26"/>
          <w:lang w:val="es-419" w:eastAsia="es-MX"/>
        </w:rPr>
        <w:t>La Sala Superior del Tribunal Electoral del Poder Judicial de la Federación dicta sentencia</w:t>
      </w:r>
      <w:r w:rsidR="005073CE" w:rsidRPr="00DE4C98">
        <w:rPr>
          <w:bCs/>
          <w:sz w:val="26"/>
          <w:szCs w:val="26"/>
          <w:lang w:val="es-419" w:eastAsia="es-MX"/>
        </w:rPr>
        <w:t xml:space="preserve"> en el</w:t>
      </w:r>
      <w:r w:rsidR="001F7AC0" w:rsidRPr="00DE4C98">
        <w:rPr>
          <w:bCs/>
          <w:sz w:val="26"/>
          <w:szCs w:val="26"/>
          <w:lang w:val="es-419" w:eastAsia="es-MX"/>
        </w:rPr>
        <w:t xml:space="preserve"> recurso de reconsideración al rubro indicado,</w:t>
      </w:r>
      <w:r w:rsidRPr="00DE4C98">
        <w:rPr>
          <w:bCs/>
          <w:sz w:val="26"/>
          <w:szCs w:val="26"/>
          <w:lang w:val="es-419" w:eastAsia="es-MX"/>
        </w:rPr>
        <w:t xml:space="preserve"> en el sentido de </w:t>
      </w:r>
      <w:r w:rsidRPr="00DE4C98">
        <w:rPr>
          <w:b/>
          <w:sz w:val="26"/>
          <w:szCs w:val="26"/>
          <w:lang w:val="es-419" w:eastAsia="es-MX"/>
        </w:rPr>
        <w:t>desechar de plano la demanda</w:t>
      </w:r>
      <w:r w:rsidR="007645DF" w:rsidRPr="00DE4C98">
        <w:rPr>
          <w:bCs/>
          <w:sz w:val="26"/>
          <w:szCs w:val="26"/>
          <w:lang w:val="es-419" w:eastAsia="es-MX"/>
        </w:rPr>
        <w:t xml:space="preserve">, </w:t>
      </w:r>
      <w:r w:rsidR="00245DB9" w:rsidRPr="00245DB9">
        <w:rPr>
          <w:rFonts w:eastAsia="Calibri"/>
          <w:sz w:val="26"/>
          <w:szCs w:val="26"/>
          <w:lang w:val="es-ES"/>
        </w:rPr>
        <w:t>interpuest</w:t>
      </w:r>
      <w:r w:rsidR="00231544">
        <w:rPr>
          <w:rFonts w:eastAsia="Calibri"/>
          <w:sz w:val="26"/>
          <w:szCs w:val="26"/>
          <w:lang w:val="es-ES"/>
        </w:rPr>
        <w:t>a</w:t>
      </w:r>
      <w:r w:rsidR="00245DB9" w:rsidRPr="00245DB9">
        <w:rPr>
          <w:rFonts w:eastAsia="Calibri"/>
          <w:sz w:val="26"/>
          <w:szCs w:val="26"/>
          <w:lang w:val="es-ES"/>
        </w:rPr>
        <w:t xml:space="preserve"> contra de la sentencia dictada por la Sala Regional </w:t>
      </w:r>
      <w:r w:rsidR="00253B40">
        <w:rPr>
          <w:rFonts w:eastAsia="Calibri"/>
          <w:sz w:val="26"/>
          <w:szCs w:val="26"/>
          <w:lang w:val="es-ES"/>
        </w:rPr>
        <w:t>Monterrey</w:t>
      </w:r>
      <w:r w:rsidR="00245DB9" w:rsidRPr="00245DB9">
        <w:rPr>
          <w:rFonts w:eastAsia="Calibri"/>
          <w:sz w:val="26"/>
          <w:szCs w:val="26"/>
          <w:lang w:val="es-ES"/>
        </w:rPr>
        <w:t xml:space="preserve"> en el </w:t>
      </w:r>
      <w:r w:rsidR="00253B40">
        <w:rPr>
          <w:rFonts w:eastAsia="Calibri"/>
          <w:sz w:val="26"/>
          <w:szCs w:val="26"/>
          <w:lang w:val="es-ES"/>
        </w:rPr>
        <w:t>j</w:t>
      </w:r>
      <w:r w:rsidR="00245DB9" w:rsidRPr="00245DB9">
        <w:rPr>
          <w:rFonts w:eastAsia="Calibri"/>
          <w:sz w:val="26"/>
          <w:szCs w:val="26"/>
          <w:lang w:val="es-ES"/>
        </w:rPr>
        <w:t xml:space="preserve">uicio </w:t>
      </w:r>
      <w:r w:rsidR="00253B40">
        <w:rPr>
          <w:rFonts w:eastAsia="Calibri"/>
          <w:sz w:val="26"/>
          <w:szCs w:val="26"/>
          <w:lang w:val="es-ES"/>
        </w:rPr>
        <w:t>general</w:t>
      </w:r>
      <w:r w:rsidR="00245DB9" w:rsidRPr="00245DB9">
        <w:rPr>
          <w:rFonts w:eastAsia="Calibri"/>
          <w:sz w:val="26"/>
          <w:szCs w:val="26"/>
          <w:lang w:val="es-ES"/>
        </w:rPr>
        <w:t xml:space="preserve"> S</w:t>
      </w:r>
      <w:r w:rsidR="00253B40">
        <w:rPr>
          <w:rFonts w:eastAsia="Calibri"/>
          <w:sz w:val="26"/>
          <w:szCs w:val="26"/>
          <w:lang w:val="es-ES"/>
        </w:rPr>
        <w:t>M</w:t>
      </w:r>
      <w:r w:rsidR="00245DB9" w:rsidRPr="00245DB9">
        <w:rPr>
          <w:rFonts w:eastAsia="Calibri"/>
          <w:sz w:val="26"/>
          <w:szCs w:val="26"/>
          <w:lang w:val="es-ES"/>
        </w:rPr>
        <w:t>-J</w:t>
      </w:r>
      <w:r w:rsidR="00253B40">
        <w:rPr>
          <w:rFonts w:eastAsia="Calibri"/>
          <w:sz w:val="26"/>
          <w:szCs w:val="26"/>
          <w:lang w:val="es-ES"/>
        </w:rPr>
        <w:t>G</w:t>
      </w:r>
      <w:r w:rsidR="00245DB9" w:rsidRPr="00245DB9">
        <w:rPr>
          <w:rFonts w:eastAsia="Calibri"/>
          <w:sz w:val="26"/>
          <w:szCs w:val="26"/>
          <w:lang w:val="es-ES"/>
        </w:rPr>
        <w:t>-</w:t>
      </w:r>
      <w:r w:rsidR="00253B40">
        <w:rPr>
          <w:rFonts w:eastAsia="Calibri"/>
          <w:sz w:val="26"/>
          <w:szCs w:val="26"/>
          <w:lang w:val="es-ES"/>
        </w:rPr>
        <w:t>53</w:t>
      </w:r>
      <w:r w:rsidR="00245DB9" w:rsidRPr="00245DB9">
        <w:rPr>
          <w:rFonts w:eastAsia="Calibri"/>
          <w:sz w:val="26"/>
          <w:szCs w:val="26"/>
          <w:lang w:val="es-ES"/>
        </w:rPr>
        <w:t>/2025, ya que el medio de impugnación se presentó de forma extemporánea.</w:t>
      </w:r>
    </w:p>
    <w:p w14:paraId="584AB5C9" w14:textId="77777777" w:rsidR="00DE4C98" w:rsidRPr="00B8035A" w:rsidRDefault="00DE4C98" w:rsidP="00DE4C98">
      <w:pPr>
        <w:tabs>
          <w:tab w:val="left" w:pos="1215"/>
        </w:tabs>
        <w:rPr>
          <w:bCs/>
          <w:sz w:val="16"/>
          <w:szCs w:val="16"/>
          <w:lang w:val="es-ES" w:eastAsia="es-MX"/>
        </w:rPr>
      </w:pPr>
    </w:p>
    <w:p w14:paraId="1E5DA439" w14:textId="0C798B0E" w:rsidR="008010D1" w:rsidRPr="00DE4C98" w:rsidRDefault="008010D1" w:rsidP="00DE4C98">
      <w:pPr>
        <w:tabs>
          <w:tab w:val="left" w:pos="1215"/>
        </w:tabs>
        <w:jc w:val="center"/>
        <w:rPr>
          <w:b/>
          <w:bCs/>
          <w:sz w:val="26"/>
          <w:szCs w:val="26"/>
          <w:lang w:val="de-DE" w:eastAsia="es-MX"/>
        </w:rPr>
      </w:pPr>
      <w:r w:rsidRPr="00DE4C98">
        <w:rPr>
          <w:b/>
          <w:bCs/>
          <w:sz w:val="26"/>
          <w:szCs w:val="26"/>
          <w:lang w:val="de-DE" w:eastAsia="es-MX"/>
        </w:rPr>
        <w:t>A</w:t>
      </w:r>
      <w:r w:rsidR="004D7C58" w:rsidRPr="00DE4C98">
        <w:rPr>
          <w:b/>
          <w:bCs/>
          <w:sz w:val="26"/>
          <w:szCs w:val="26"/>
          <w:lang w:val="de-DE" w:eastAsia="es-MX"/>
        </w:rPr>
        <w:t xml:space="preserve"> </w:t>
      </w:r>
      <w:r w:rsidRPr="00DE4C98">
        <w:rPr>
          <w:b/>
          <w:bCs/>
          <w:sz w:val="26"/>
          <w:szCs w:val="26"/>
          <w:lang w:val="de-DE" w:eastAsia="es-MX"/>
        </w:rPr>
        <w:t>N</w:t>
      </w:r>
      <w:r w:rsidR="004D7C58" w:rsidRPr="00DE4C98">
        <w:rPr>
          <w:b/>
          <w:bCs/>
          <w:sz w:val="26"/>
          <w:szCs w:val="26"/>
          <w:lang w:val="de-DE" w:eastAsia="es-MX"/>
        </w:rPr>
        <w:t xml:space="preserve"> </w:t>
      </w:r>
      <w:r w:rsidRPr="00DE4C98">
        <w:rPr>
          <w:b/>
          <w:bCs/>
          <w:sz w:val="26"/>
          <w:szCs w:val="26"/>
          <w:lang w:val="de-DE" w:eastAsia="es-MX"/>
        </w:rPr>
        <w:t>T</w:t>
      </w:r>
      <w:r w:rsidR="004D7C58" w:rsidRPr="00DE4C98">
        <w:rPr>
          <w:b/>
          <w:bCs/>
          <w:sz w:val="26"/>
          <w:szCs w:val="26"/>
          <w:lang w:val="de-DE" w:eastAsia="es-MX"/>
        </w:rPr>
        <w:t xml:space="preserve"> </w:t>
      </w:r>
      <w:r w:rsidRPr="00DE4C98">
        <w:rPr>
          <w:b/>
          <w:bCs/>
          <w:sz w:val="26"/>
          <w:szCs w:val="26"/>
          <w:lang w:val="de-DE" w:eastAsia="es-MX"/>
        </w:rPr>
        <w:t>E</w:t>
      </w:r>
      <w:r w:rsidR="004D7C58" w:rsidRPr="00DE4C98">
        <w:rPr>
          <w:b/>
          <w:bCs/>
          <w:sz w:val="26"/>
          <w:szCs w:val="26"/>
          <w:lang w:val="de-DE" w:eastAsia="es-MX"/>
        </w:rPr>
        <w:t xml:space="preserve"> </w:t>
      </w:r>
      <w:r w:rsidRPr="00DE4C98">
        <w:rPr>
          <w:b/>
          <w:bCs/>
          <w:sz w:val="26"/>
          <w:szCs w:val="26"/>
          <w:lang w:val="de-DE" w:eastAsia="es-MX"/>
        </w:rPr>
        <w:t>C</w:t>
      </w:r>
      <w:r w:rsidR="004D7C58" w:rsidRPr="00DE4C98">
        <w:rPr>
          <w:b/>
          <w:bCs/>
          <w:sz w:val="26"/>
          <w:szCs w:val="26"/>
          <w:lang w:val="de-DE" w:eastAsia="es-MX"/>
        </w:rPr>
        <w:t xml:space="preserve"> </w:t>
      </w:r>
      <w:r w:rsidRPr="00DE4C98">
        <w:rPr>
          <w:b/>
          <w:bCs/>
          <w:sz w:val="26"/>
          <w:szCs w:val="26"/>
          <w:lang w:val="de-DE" w:eastAsia="es-MX"/>
        </w:rPr>
        <w:t>E</w:t>
      </w:r>
      <w:r w:rsidR="004D7C58" w:rsidRPr="00DE4C98">
        <w:rPr>
          <w:b/>
          <w:bCs/>
          <w:sz w:val="26"/>
          <w:szCs w:val="26"/>
          <w:lang w:val="de-DE" w:eastAsia="es-MX"/>
        </w:rPr>
        <w:t xml:space="preserve"> </w:t>
      </w:r>
      <w:r w:rsidRPr="00DE4C98">
        <w:rPr>
          <w:b/>
          <w:bCs/>
          <w:sz w:val="26"/>
          <w:szCs w:val="26"/>
          <w:lang w:val="de-DE" w:eastAsia="es-MX"/>
        </w:rPr>
        <w:t>D</w:t>
      </w:r>
      <w:r w:rsidR="004D7C58" w:rsidRPr="00DE4C98">
        <w:rPr>
          <w:b/>
          <w:bCs/>
          <w:sz w:val="26"/>
          <w:szCs w:val="26"/>
          <w:lang w:val="de-DE" w:eastAsia="es-MX"/>
        </w:rPr>
        <w:t xml:space="preserve"> </w:t>
      </w:r>
      <w:r w:rsidRPr="00DE4C98">
        <w:rPr>
          <w:b/>
          <w:bCs/>
          <w:sz w:val="26"/>
          <w:szCs w:val="26"/>
          <w:lang w:val="de-DE" w:eastAsia="es-MX"/>
        </w:rPr>
        <w:t>E</w:t>
      </w:r>
      <w:r w:rsidR="004D7C58" w:rsidRPr="00DE4C98">
        <w:rPr>
          <w:b/>
          <w:bCs/>
          <w:sz w:val="26"/>
          <w:szCs w:val="26"/>
          <w:lang w:val="de-DE" w:eastAsia="es-MX"/>
        </w:rPr>
        <w:t xml:space="preserve"> </w:t>
      </w:r>
      <w:r w:rsidRPr="00DE4C98">
        <w:rPr>
          <w:b/>
          <w:bCs/>
          <w:sz w:val="26"/>
          <w:szCs w:val="26"/>
          <w:lang w:val="de-DE" w:eastAsia="es-MX"/>
        </w:rPr>
        <w:t>N</w:t>
      </w:r>
      <w:r w:rsidR="004D7C58" w:rsidRPr="00DE4C98">
        <w:rPr>
          <w:b/>
          <w:bCs/>
          <w:sz w:val="26"/>
          <w:szCs w:val="26"/>
          <w:lang w:val="de-DE" w:eastAsia="es-MX"/>
        </w:rPr>
        <w:t xml:space="preserve"> </w:t>
      </w:r>
      <w:r w:rsidRPr="00DE4C98">
        <w:rPr>
          <w:b/>
          <w:bCs/>
          <w:sz w:val="26"/>
          <w:szCs w:val="26"/>
          <w:lang w:val="de-DE" w:eastAsia="es-MX"/>
        </w:rPr>
        <w:t>T</w:t>
      </w:r>
      <w:r w:rsidR="004D7C58" w:rsidRPr="00DE4C98">
        <w:rPr>
          <w:b/>
          <w:bCs/>
          <w:sz w:val="26"/>
          <w:szCs w:val="26"/>
          <w:lang w:val="de-DE" w:eastAsia="es-MX"/>
        </w:rPr>
        <w:t xml:space="preserve"> </w:t>
      </w:r>
      <w:r w:rsidRPr="00DE4C98">
        <w:rPr>
          <w:b/>
          <w:bCs/>
          <w:sz w:val="26"/>
          <w:szCs w:val="26"/>
          <w:lang w:val="de-DE" w:eastAsia="es-MX"/>
        </w:rPr>
        <w:t>E</w:t>
      </w:r>
      <w:r w:rsidR="004D7C58" w:rsidRPr="00DE4C98">
        <w:rPr>
          <w:b/>
          <w:bCs/>
          <w:sz w:val="26"/>
          <w:szCs w:val="26"/>
          <w:lang w:val="de-DE" w:eastAsia="es-MX"/>
        </w:rPr>
        <w:t xml:space="preserve"> </w:t>
      </w:r>
      <w:r w:rsidRPr="00DE4C98">
        <w:rPr>
          <w:b/>
          <w:bCs/>
          <w:sz w:val="26"/>
          <w:szCs w:val="26"/>
          <w:lang w:val="de-DE" w:eastAsia="es-MX"/>
        </w:rPr>
        <w:t>S</w:t>
      </w:r>
    </w:p>
    <w:p w14:paraId="4304DE2B" w14:textId="77777777" w:rsidR="00DE4C98" w:rsidRDefault="00DE4C98" w:rsidP="00DE4C98">
      <w:pPr>
        <w:rPr>
          <w:sz w:val="26"/>
          <w:szCs w:val="26"/>
          <w:lang w:val="de-DE"/>
        </w:rPr>
      </w:pPr>
    </w:p>
    <w:p w14:paraId="7767F40A" w14:textId="3E65849F" w:rsidR="00F539C1" w:rsidRDefault="009B0E61" w:rsidP="009B0E61">
      <w:pPr>
        <w:rPr>
          <w:sz w:val="26"/>
          <w:szCs w:val="26"/>
        </w:rPr>
      </w:pPr>
      <w:r w:rsidRPr="00582BB8">
        <w:rPr>
          <w:b/>
          <w:bCs/>
          <w:sz w:val="26"/>
          <w:szCs w:val="26"/>
        </w:rPr>
        <w:t>1. Vista al Instituto</w:t>
      </w:r>
      <w:r w:rsidR="00DB1187" w:rsidRPr="00582BB8">
        <w:rPr>
          <w:b/>
          <w:bCs/>
          <w:sz w:val="26"/>
          <w:szCs w:val="26"/>
        </w:rPr>
        <w:t xml:space="preserve"> Electoral del Estado de Guanajuato</w:t>
      </w:r>
      <w:r w:rsidR="0009502A" w:rsidRPr="00582BB8">
        <w:rPr>
          <w:rStyle w:val="Refdenotaalpie"/>
          <w:sz w:val="26"/>
          <w:szCs w:val="26"/>
        </w:rPr>
        <w:footnoteReference w:id="5"/>
      </w:r>
      <w:r w:rsidRPr="00582BB8">
        <w:rPr>
          <w:sz w:val="26"/>
          <w:szCs w:val="26"/>
        </w:rPr>
        <w:t>.</w:t>
      </w:r>
      <w:r w:rsidRPr="009B0E61">
        <w:rPr>
          <w:sz w:val="26"/>
          <w:szCs w:val="26"/>
        </w:rPr>
        <w:t xml:space="preserve"> </w:t>
      </w:r>
      <w:r w:rsidR="00F539C1" w:rsidRPr="00F539C1">
        <w:rPr>
          <w:sz w:val="26"/>
          <w:szCs w:val="26"/>
        </w:rPr>
        <w:t xml:space="preserve">El </w:t>
      </w:r>
      <w:r w:rsidR="00D73087">
        <w:rPr>
          <w:sz w:val="26"/>
          <w:szCs w:val="26"/>
        </w:rPr>
        <w:t>veintidós</w:t>
      </w:r>
      <w:r w:rsidR="00F539C1" w:rsidRPr="00F539C1">
        <w:rPr>
          <w:sz w:val="26"/>
          <w:szCs w:val="26"/>
        </w:rPr>
        <w:t xml:space="preserve"> de julio de </w:t>
      </w:r>
      <w:r w:rsidR="00D73087">
        <w:rPr>
          <w:sz w:val="26"/>
          <w:szCs w:val="26"/>
        </w:rPr>
        <w:t>dos mil veinticuatro</w:t>
      </w:r>
      <w:r w:rsidR="00F539C1" w:rsidRPr="00F539C1">
        <w:rPr>
          <w:sz w:val="26"/>
          <w:szCs w:val="26"/>
        </w:rPr>
        <w:t xml:space="preserve">, el Consejo General emitió la resolución </w:t>
      </w:r>
      <w:r w:rsidR="00386FEC" w:rsidRPr="002C43BF">
        <w:rPr>
          <w:color w:val="auto"/>
          <w:sz w:val="26"/>
          <w:szCs w:val="26"/>
        </w:rPr>
        <w:t>INE/CG1960/2024</w:t>
      </w:r>
      <w:r w:rsidR="00F539C1" w:rsidRPr="00F539C1">
        <w:rPr>
          <w:sz w:val="26"/>
          <w:szCs w:val="26"/>
        </w:rPr>
        <w:t xml:space="preserve">, en la cual, entre otras determinaciones, dispuso </w:t>
      </w:r>
      <w:r w:rsidR="00BB3413">
        <w:rPr>
          <w:sz w:val="26"/>
          <w:szCs w:val="26"/>
        </w:rPr>
        <w:t>dar vista</w:t>
      </w:r>
      <w:r w:rsidR="00F539C1" w:rsidRPr="00F539C1">
        <w:rPr>
          <w:sz w:val="26"/>
          <w:szCs w:val="26"/>
        </w:rPr>
        <w:t xml:space="preserve"> al Instituto Local sobre la posible infracción a disposiciones legales, derivada de conductas ajenas a la materia de fiscalización</w:t>
      </w:r>
      <w:r w:rsidR="00D73087">
        <w:rPr>
          <w:rStyle w:val="Refdenotaalpie"/>
          <w:sz w:val="26"/>
          <w:szCs w:val="26"/>
        </w:rPr>
        <w:footnoteReference w:id="6"/>
      </w:r>
      <w:r w:rsidR="00D73087" w:rsidRPr="009B0E61">
        <w:rPr>
          <w:sz w:val="26"/>
          <w:szCs w:val="26"/>
        </w:rPr>
        <w:t>.</w:t>
      </w:r>
    </w:p>
    <w:p w14:paraId="2BC26995" w14:textId="50065F8E" w:rsidR="006A27B9" w:rsidRDefault="009B0E61" w:rsidP="006A27B9">
      <w:pPr>
        <w:rPr>
          <w:sz w:val="26"/>
          <w:szCs w:val="26"/>
        </w:rPr>
      </w:pPr>
      <w:r w:rsidRPr="00497B64">
        <w:rPr>
          <w:b/>
          <w:bCs/>
          <w:sz w:val="26"/>
          <w:szCs w:val="26"/>
        </w:rPr>
        <w:lastRenderedPageBreak/>
        <w:t>2. Inicio del procedimiento</w:t>
      </w:r>
      <w:r w:rsidR="00241B09" w:rsidRPr="00497B64">
        <w:rPr>
          <w:b/>
          <w:bCs/>
          <w:sz w:val="26"/>
          <w:szCs w:val="26"/>
        </w:rPr>
        <w:t xml:space="preserve"> 243/2024-PES-CG.</w:t>
      </w:r>
      <w:r w:rsidR="00241B09">
        <w:rPr>
          <w:sz w:val="26"/>
          <w:szCs w:val="26"/>
        </w:rPr>
        <w:t xml:space="preserve"> El </w:t>
      </w:r>
      <w:r w:rsidRPr="009B0E61">
        <w:rPr>
          <w:sz w:val="26"/>
          <w:szCs w:val="26"/>
        </w:rPr>
        <w:t>tres de diciembre de dos mil</w:t>
      </w:r>
      <w:r w:rsidR="001E4AA3">
        <w:rPr>
          <w:sz w:val="26"/>
          <w:szCs w:val="26"/>
        </w:rPr>
        <w:t xml:space="preserve"> </w:t>
      </w:r>
      <w:r w:rsidRPr="009B0E61">
        <w:rPr>
          <w:sz w:val="26"/>
          <w:szCs w:val="26"/>
        </w:rPr>
        <w:t xml:space="preserve">veinticuatro, la UTC </w:t>
      </w:r>
      <w:r w:rsidR="006A27B9" w:rsidRPr="00491411">
        <w:rPr>
          <w:sz w:val="26"/>
          <w:szCs w:val="26"/>
        </w:rPr>
        <w:t xml:space="preserve">acordó iniciar la investigación </w:t>
      </w:r>
      <w:r w:rsidR="000852DC">
        <w:rPr>
          <w:sz w:val="26"/>
          <w:szCs w:val="26"/>
        </w:rPr>
        <w:t>relacionada con</w:t>
      </w:r>
      <w:r w:rsidR="006A27B9" w:rsidRPr="00491411">
        <w:rPr>
          <w:sz w:val="26"/>
          <w:szCs w:val="26"/>
        </w:rPr>
        <w:t xml:space="preserve"> los hechos objeto de la vista</w:t>
      </w:r>
      <w:r w:rsidR="00854B2B">
        <w:rPr>
          <w:sz w:val="26"/>
          <w:szCs w:val="26"/>
        </w:rPr>
        <w:t>, Posteriormente</w:t>
      </w:r>
      <w:r w:rsidR="00275320">
        <w:rPr>
          <w:sz w:val="26"/>
          <w:szCs w:val="26"/>
        </w:rPr>
        <w:t>, e</w:t>
      </w:r>
      <w:r w:rsidR="006A27B9" w:rsidRPr="00491411">
        <w:rPr>
          <w:sz w:val="26"/>
          <w:szCs w:val="26"/>
        </w:rPr>
        <w:t xml:space="preserve">l </w:t>
      </w:r>
      <w:r w:rsidR="00275320">
        <w:rPr>
          <w:sz w:val="26"/>
          <w:szCs w:val="26"/>
        </w:rPr>
        <w:t>diez</w:t>
      </w:r>
      <w:r w:rsidR="006A27B9" w:rsidRPr="00491411">
        <w:rPr>
          <w:sz w:val="26"/>
          <w:szCs w:val="26"/>
        </w:rPr>
        <w:t xml:space="preserve"> de marzo se celebró la audiencia de desahogo de pruebas y alegatos, remitiendo </w:t>
      </w:r>
      <w:r w:rsidR="00631CCD">
        <w:rPr>
          <w:sz w:val="26"/>
          <w:szCs w:val="26"/>
        </w:rPr>
        <w:t xml:space="preserve">en esa misma fecha </w:t>
      </w:r>
      <w:r w:rsidR="006A27B9" w:rsidRPr="00491411">
        <w:rPr>
          <w:sz w:val="26"/>
          <w:szCs w:val="26"/>
        </w:rPr>
        <w:t>el expediente al Tribunal Local.</w:t>
      </w:r>
    </w:p>
    <w:p w14:paraId="5583EAF9" w14:textId="77777777" w:rsidR="00497B64" w:rsidRPr="00A76AD6" w:rsidRDefault="00497B64" w:rsidP="007F6D38">
      <w:pPr>
        <w:rPr>
          <w:sz w:val="16"/>
          <w:szCs w:val="16"/>
        </w:rPr>
      </w:pPr>
    </w:p>
    <w:p w14:paraId="269BE8A8" w14:textId="5FAF0066" w:rsidR="002E2356" w:rsidRDefault="00497B64" w:rsidP="007F6D38">
      <w:pPr>
        <w:rPr>
          <w:sz w:val="26"/>
          <w:szCs w:val="26"/>
        </w:rPr>
      </w:pPr>
      <w:r>
        <w:rPr>
          <w:b/>
          <w:bCs/>
          <w:sz w:val="26"/>
          <w:szCs w:val="26"/>
        </w:rPr>
        <w:t>3</w:t>
      </w:r>
      <w:r w:rsidR="008010D1" w:rsidRPr="00DE4C98">
        <w:rPr>
          <w:b/>
          <w:bCs/>
          <w:sz w:val="26"/>
          <w:szCs w:val="26"/>
        </w:rPr>
        <w:t>.</w:t>
      </w:r>
      <w:r w:rsidR="004B60A1" w:rsidRPr="00DE4C98">
        <w:rPr>
          <w:b/>
          <w:bCs/>
          <w:sz w:val="26"/>
          <w:szCs w:val="26"/>
        </w:rPr>
        <w:t xml:space="preserve"> </w:t>
      </w:r>
      <w:r w:rsidR="00890970">
        <w:rPr>
          <w:b/>
          <w:bCs/>
          <w:sz w:val="26"/>
          <w:szCs w:val="26"/>
        </w:rPr>
        <w:t xml:space="preserve">Resolución </w:t>
      </w:r>
      <w:r w:rsidR="007245BA">
        <w:rPr>
          <w:b/>
          <w:bCs/>
          <w:sz w:val="26"/>
          <w:szCs w:val="26"/>
        </w:rPr>
        <w:t xml:space="preserve">local </w:t>
      </w:r>
      <w:r w:rsidR="00890970">
        <w:rPr>
          <w:b/>
          <w:bCs/>
          <w:sz w:val="26"/>
          <w:szCs w:val="26"/>
        </w:rPr>
        <w:t>impugnada</w:t>
      </w:r>
      <w:r w:rsidR="006201C2" w:rsidRPr="00DE4C98">
        <w:rPr>
          <w:b/>
          <w:bCs/>
          <w:sz w:val="26"/>
          <w:szCs w:val="26"/>
        </w:rPr>
        <w:t xml:space="preserve">. </w:t>
      </w:r>
      <w:r w:rsidR="004B60A1" w:rsidRPr="00DE4C98">
        <w:rPr>
          <w:sz w:val="26"/>
          <w:szCs w:val="26"/>
        </w:rPr>
        <w:t>El c</w:t>
      </w:r>
      <w:r w:rsidR="00CD4C16">
        <w:rPr>
          <w:sz w:val="26"/>
          <w:szCs w:val="26"/>
        </w:rPr>
        <w:t>inco de junio</w:t>
      </w:r>
      <w:r w:rsidR="004B60A1" w:rsidRPr="00DE4C98">
        <w:rPr>
          <w:sz w:val="26"/>
          <w:szCs w:val="26"/>
        </w:rPr>
        <w:t xml:space="preserve"> el </w:t>
      </w:r>
      <w:r w:rsidR="00FC5860">
        <w:rPr>
          <w:sz w:val="26"/>
          <w:szCs w:val="26"/>
        </w:rPr>
        <w:t>Tribunal Electoral del Estado de Guanajuato</w:t>
      </w:r>
      <w:r w:rsidR="00DE486E" w:rsidRPr="00DE4C98">
        <w:rPr>
          <w:rStyle w:val="Refdenotaalpie"/>
          <w:sz w:val="26"/>
          <w:szCs w:val="26"/>
        </w:rPr>
        <w:footnoteReference w:id="7"/>
      </w:r>
      <w:r w:rsidR="004B60A1" w:rsidRPr="00DE4C98">
        <w:rPr>
          <w:sz w:val="26"/>
          <w:szCs w:val="26"/>
        </w:rPr>
        <w:t xml:space="preserve"> </w:t>
      </w:r>
      <w:r w:rsidR="00AB4803">
        <w:rPr>
          <w:sz w:val="26"/>
          <w:szCs w:val="26"/>
        </w:rPr>
        <w:t>dictó</w:t>
      </w:r>
      <w:r w:rsidR="004B60A1" w:rsidRPr="00DE4C98">
        <w:rPr>
          <w:sz w:val="26"/>
          <w:szCs w:val="26"/>
        </w:rPr>
        <w:t xml:space="preserve"> </w:t>
      </w:r>
      <w:r w:rsidR="00CF0E90">
        <w:rPr>
          <w:sz w:val="26"/>
          <w:szCs w:val="26"/>
        </w:rPr>
        <w:t>sentencia</w:t>
      </w:r>
      <w:r w:rsidR="00CF0050">
        <w:rPr>
          <w:sz w:val="26"/>
          <w:szCs w:val="26"/>
        </w:rPr>
        <w:t xml:space="preserve"> en</w:t>
      </w:r>
      <w:r w:rsidR="00CF0E90">
        <w:rPr>
          <w:sz w:val="26"/>
          <w:szCs w:val="26"/>
        </w:rPr>
        <w:t xml:space="preserve"> </w:t>
      </w:r>
      <w:r w:rsidR="004B60A1" w:rsidRPr="00DE4C98">
        <w:rPr>
          <w:sz w:val="26"/>
          <w:szCs w:val="26"/>
        </w:rPr>
        <w:t xml:space="preserve">el </w:t>
      </w:r>
      <w:r w:rsidR="00BD58D8" w:rsidRPr="00A728AB">
        <w:rPr>
          <w:color w:val="auto"/>
          <w:sz w:val="26"/>
          <w:szCs w:val="26"/>
        </w:rPr>
        <w:t xml:space="preserve">expediente </w:t>
      </w:r>
      <w:r w:rsidR="00386FEC" w:rsidRPr="002C43BF">
        <w:rPr>
          <w:color w:val="auto"/>
          <w:sz w:val="26"/>
          <w:szCs w:val="26"/>
        </w:rPr>
        <w:t>TEEG-PES-20/2025</w:t>
      </w:r>
      <w:r w:rsidR="00AB4803" w:rsidRPr="00A728AB">
        <w:rPr>
          <w:color w:val="auto"/>
          <w:sz w:val="26"/>
          <w:szCs w:val="26"/>
        </w:rPr>
        <w:t xml:space="preserve">, </w:t>
      </w:r>
      <w:r w:rsidR="0095200B" w:rsidRPr="00A728AB">
        <w:rPr>
          <w:color w:val="auto"/>
          <w:sz w:val="26"/>
          <w:szCs w:val="26"/>
        </w:rPr>
        <w:t>declar</w:t>
      </w:r>
      <w:r w:rsidR="00AB4803" w:rsidRPr="00A728AB">
        <w:rPr>
          <w:color w:val="auto"/>
          <w:sz w:val="26"/>
          <w:szCs w:val="26"/>
        </w:rPr>
        <w:t xml:space="preserve">ando </w:t>
      </w:r>
      <w:r w:rsidR="0095200B" w:rsidRPr="00A728AB">
        <w:rPr>
          <w:color w:val="auto"/>
          <w:sz w:val="26"/>
          <w:szCs w:val="26"/>
        </w:rPr>
        <w:t xml:space="preserve">la existencia de </w:t>
      </w:r>
      <w:r w:rsidR="00AB4803" w:rsidRPr="00A728AB">
        <w:rPr>
          <w:color w:val="auto"/>
          <w:sz w:val="26"/>
          <w:szCs w:val="26"/>
        </w:rPr>
        <w:t>una</w:t>
      </w:r>
      <w:r w:rsidR="0095200B" w:rsidRPr="00A728AB">
        <w:rPr>
          <w:color w:val="auto"/>
          <w:sz w:val="26"/>
          <w:szCs w:val="26"/>
        </w:rPr>
        <w:t xml:space="preserve"> infracción </w:t>
      </w:r>
      <w:r w:rsidR="00AB4803" w:rsidRPr="00A728AB">
        <w:rPr>
          <w:color w:val="auto"/>
          <w:sz w:val="26"/>
          <w:szCs w:val="26"/>
        </w:rPr>
        <w:t>por</w:t>
      </w:r>
      <w:r w:rsidR="0095200B" w:rsidRPr="00A728AB">
        <w:rPr>
          <w:color w:val="auto"/>
          <w:sz w:val="26"/>
          <w:szCs w:val="26"/>
        </w:rPr>
        <w:t xml:space="preserve"> </w:t>
      </w:r>
      <w:r w:rsidR="00DB007C" w:rsidRPr="00A728AB">
        <w:rPr>
          <w:color w:val="auto"/>
          <w:sz w:val="26"/>
          <w:szCs w:val="26"/>
        </w:rPr>
        <w:t>coacción al voto atribuida a</w:t>
      </w:r>
      <w:r w:rsidR="0088652E" w:rsidRPr="00A728AB">
        <w:rPr>
          <w:color w:val="auto"/>
          <w:sz w:val="26"/>
          <w:szCs w:val="26"/>
        </w:rPr>
        <w:t>l</w:t>
      </w:r>
      <w:r w:rsidR="00DB007C" w:rsidRPr="00A728AB">
        <w:rPr>
          <w:color w:val="auto"/>
          <w:sz w:val="26"/>
          <w:szCs w:val="26"/>
        </w:rPr>
        <w:t xml:space="preserve"> </w:t>
      </w:r>
      <w:proofErr w:type="gramStart"/>
      <w:r w:rsidR="00D66252" w:rsidRPr="00A728AB">
        <w:rPr>
          <w:color w:val="auto"/>
          <w:sz w:val="26"/>
          <w:szCs w:val="26"/>
        </w:rPr>
        <w:t>S</w:t>
      </w:r>
      <w:r w:rsidR="00DB007C" w:rsidRPr="00A728AB">
        <w:rPr>
          <w:color w:val="auto"/>
          <w:sz w:val="26"/>
          <w:szCs w:val="26"/>
        </w:rPr>
        <w:t xml:space="preserve">ecretario </w:t>
      </w:r>
      <w:r w:rsidR="00D66252" w:rsidRPr="00A728AB">
        <w:rPr>
          <w:color w:val="auto"/>
          <w:sz w:val="26"/>
          <w:szCs w:val="26"/>
        </w:rPr>
        <w:t>G</w:t>
      </w:r>
      <w:r w:rsidR="00DB007C" w:rsidRPr="00A728AB">
        <w:rPr>
          <w:color w:val="auto"/>
          <w:sz w:val="26"/>
          <w:szCs w:val="26"/>
        </w:rPr>
        <w:t>eneral</w:t>
      </w:r>
      <w:proofErr w:type="gramEnd"/>
      <w:r w:rsidR="00DB007C" w:rsidRPr="00A728AB">
        <w:rPr>
          <w:color w:val="auto"/>
          <w:sz w:val="26"/>
          <w:szCs w:val="26"/>
        </w:rPr>
        <w:t xml:space="preserve"> de un </w:t>
      </w:r>
      <w:r w:rsidR="007E4FA3" w:rsidRPr="00A728AB">
        <w:rPr>
          <w:color w:val="auto"/>
          <w:sz w:val="26"/>
          <w:szCs w:val="26"/>
        </w:rPr>
        <w:t>s</w:t>
      </w:r>
      <w:r w:rsidR="00DB007C" w:rsidRPr="00A728AB">
        <w:rPr>
          <w:color w:val="auto"/>
          <w:sz w:val="26"/>
          <w:szCs w:val="26"/>
        </w:rPr>
        <w:t>indicato</w:t>
      </w:r>
      <w:r w:rsidR="007E4FA3" w:rsidRPr="00A728AB">
        <w:rPr>
          <w:color w:val="auto"/>
          <w:sz w:val="26"/>
          <w:szCs w:val="26"/>
        </w:rPr>
        <w:t xml:space="preserve">, así como un </w:t>
      </w:r>
      <w:r w:rsidR="009F017E" w:rsidRPr="00A728AB">
        <w:rPr>
          <w:color w:val="auto"/>
          <w:sz w:val="26"/>
          <w:szCs w:val="26"/>
        </w:rPr>
        <w:t xml:space="preserve">beneficio indebido obtenido por la </w:t>
      </w:r>
      <w:r w:rsidR="007F6D38" w:rsidRPr="00A728AB">
        <w:rPr>
          <w:color w:val="auto"/>
          <w:sz w:val="26"/>
          <w:szCs w:val="26"/>
        </w:rPr>
        <w:t xml:space="preserve">excandidata a la Presidencia Municipal de Irapuato </w:t>
      </w:r>
      <w:r w:rsidR="00851DFC" w:rsidRPr="00A728AB">
        <w:rPr>
          <w:color w:val="auto"/>
          <w:sz w:val="26"/>
          <w:szCs w:val="26"/>
        </w:rPr>
        <w:t xml:space="preserve">postulada </w:t>
      </w:r>
      <w:r w:rsidR="007F6D38" w:rsidRPr="00A728AB">
        <w:rPr>
          <w:color w:val="auto"/>
          <w:sz w:val="26"/>
          <w:szCs w:val="26"/>
        </w:rPr>
        <w:t xml:space="preserve">por la Coalición </w:t>
      </w:r>
      <w:r w:rsidR="00386FEC" w:rsidRPr="002C43BF">
        <w:rPr>
          <w:color w:val="auto"/>
          <w:sz w:val="26"/>
          <w:szCs w:val="26"/>
        </w:rPr>
        <w:t>“Fuerza y Corazón por Guanajuato”</w:t>
      </w:r>
      <w:r w:rsidR="00252C2D" w:rsidRPr="00A728AB">
        <w:rPr>
          <w:color w:val="auto"/>
          <w:sz w:val="26"/>
          <w:szCs w:val="26"/>
        </w:rPr>
        <w:t xml:space="preserve">, </w:t>
      </w:r>
      <w:r w:rsidR="000F1362" w:rsidRPr="00A728AB">
        <w:rPr>
          <w:color w:val="auto"/>
          <w:sz w:val="26"/>
          <w:szCs w:val="26"/>
        </w:rPr>
        <w:t xml:space="preserve">integrada por el </w:t>
      </w:r>
      <w:r w:rsidR="00386FEC" w:rsidRPr="002C43BF">
        <w:rPr>
          <w:color w:val="auto"/>
          <w:sz w:val="26"/>
          <w:szCs w:val="26"/>
        </w:rPr>
        <w:t>PAN, PRI y PRD</w:t>
      </w:r>
      <w:r w:rsidR="003B326D" w:rsidRPr="00A728AB">
        <w:rPr>
          <w:color w:val="auto"/>
          <w:sz w:val="26"/>
          <w:szCs w:val="26"/>
        </w:rPr>
        <w:t>, en el pasado proceso electoral local</w:t>
      </w:r>
      <w:r w:rsidR="00E2357D" w:rsidRPr="00A728AB">
        <w:rPr>
          <w:color w:val="auto"/>
          <w:sz w:val="26"/>
          <w:szCs w:val="26"/>
        </w:rPr>
        <w:t xml:space="preserve"> anterior. Como</w:t>
      </w:r>
      <w:r w:rsidR="003B326D" w:rsidRPr="00A728AB">
        <w:rPr>
          <w:color w:val="auto"/>
          <w:sz w:val="26"/>
          <w:szCs w:val="26"/>
        </w:rPr>
        <w:t xml:space="preserve"> consecuencia,</w:t>
      </w:r>
      <w:r w:rsidR="009D18BF" w:rsidRPr="00A728AB">
        <w:rPr>
          <w:color w:val="auto"/>
          <w:sz w:val="26"/>
          <w:szCs w:val="26"/>
        </w:rPr>
        <w:t xml:space="preserve"> </w:t>
      </w:r>
      <w:r w:rsidR="009D18BF">
        <w:rPr>
          <w:sz w:val="26"/>
          <w:szCs w:val="26"/>
        </w:rPr>
        <w:t>s</w:t>
      </w:r>
      <w:r w:rsidR="003B326D">
        <w:rPr>
          <w:sz w:val="26"/>
          <w:szCs w:val="26"/>
        </w:rPr>
        <w:t>e impuso una amonestación pública</w:t>
      </w:r>
      <w:r w:rsidR="002E2356">
        <w:rPr>
          <w:sz w:val="26"/>
          <w:szCs w:val="26"/>
        </w:rPr>
        <w:t>.</w:t>
      </w:r>
    </w:p>
    <w:p w14:paraId="2268831C" w14:textId="77777777" w:rsidR="0059185C" w:rsidRPr="00BA79F2" w:rsidRDefault="0059185C" w:rsidP="007F6D38">
      <w:pPr>
        <w:rPr>
          <w:sz w:val="16"/>
          <w:szCs w:val="16"/>
        </w:rPr>
      </w:pPr>
    </w:p>
    <w:p w14:paraId="7DF65665" w14:textId="0072C2A9" w:rsidR="006637BB" w:rsidRDefault="00BA79F2" w:rsidP="0049522B">
      <w:pPr>
        <w:rPr>
          <w:rFonts w:cstheme="minorBidi"/>
          <w:sz w:val="26"/>
          <w:szCs w:val="26"/>
        </w:rPr>
      </w:pPr>
      <w:r>
        <w:rPr>
          <w:b/>
          <w:bCs/>
          <w:sz w:val="26"/>
          <w:szCs w:val="26"/>
        </w:rPr>
        <w:t>4</w:t>
      </w:r>
      <w:r w:rsidR="004B60A1" w:rsidRPr="00DE4C98">
        <w:rPr>
          <w:b/>
          <w:bCs/>
          <w:sz w:val="26"/>
          <w:szCs w:val="26"/>
        </w:rPr>
        <w:t xml:space="preserve">. </w:t>
      </w:r>
      <w:r w:rsidR="0055605A" w:rsidRPr="0055605A">
        <w:rPr>
          <w:b/>
          <w:bCs/>
          <w:sz w:val="26"/>
          <w:szCs w:val="26"/>
        </w:rPr>
        <w:t xml:space="preserve">Sentencia impugnada </w:t>
      </w:r>
      <w:r w:rsidR="008224E2" w:rsidRPr="00DE4C98">
        <w:rPr>
          <w:b/>
          <w:bCs/>
          <w:sz w:val="26"/>
          <w:szCs w:val="26"/>
          <w:lang w:val="es-ES_tradnl"/>
        </w:rPr>
        <w:t>SM-J</w:t>
      </w:r>
      <w:r w:rsidR="0049522B">
        <w:rPr>
          <w:b/>
          <w:bCs/>
          <w:sz w:val="26"/>
          <w:szCs w:val="26"/>
          <w:lang w:val="es-ES_tradnl"/>
        </w:rPr>
        <w:t>G</w:t>
      </w:r>
      <w:r w:rsidR="008224E2" w:rsidRPr="00DE4C98">
        <w:rPr>
          <w:b/>
          <w:bCs/>
          <w:sz w:val="26"/>
          <w:szCs w:val="26"/>
          <w:lang w:val="es-ES_tradnl"/>
        </w:rPr>
        <w:t>-</w:t>
      </w:r>
      <w:r w:rsidR="0049522B">
        <w:rPr>
          <w:b/>
          <w:bCs/>
          <w:sz w:val="26"/>
          <w:szCs w:val="26"/>
          <w:lang w:val="es-ES_tradnl"/>
        </w:rPr>
        <w:t>5</w:t>
      </w:r>
      <w:r w:rsidR="008224E2" w:rsidRPr="00DE4C98">
        <w:rPr>
          <w:b/>
          <w:bCs/>
          <w:sz w:val="26"/>
          <w:szCs w:val="26"/>
          <w:lang w:val="es-ES_tradnl"/>
        </w:rPr>
        <w:t>3/2025.</w:t>
      </w:r>
      <w:r w:rsidR="00623BF8" w:rsidRPr="00DE4C98">
        <w:rPr>
          <w:b/>
          <w:bCs/>
          <w:sz w:val="26"/>
          <w:szCs w:val="26"/>
          <w:lang w:val="es-ES_tradnl"/>
        </w:rPr>
        <w:t xml:space="preserve"> </w:t>
      </w:r>
      <w:r w:rsidR="005B3987" w:rsidRPr="00DE4C98">
        <w:rPr>
          <w:sz w:val="26"/>
          <w:szCs w:val="26"/>
          <w:lang w:val="es-ES"/>
        </w:rPr>
        <w:t xml:space="preserve">En desacuerdo con </w:t>
      </w:r>
      <w:r w:rsidR="00665E10" w:rsidRPr="00DE4C98">
        <w:rPr>
          <w:sz w:val="26"/>
          <w:szCs w:val="26"/>
          <w:lang w:val="es-ES"/>
        </w:rPr>
        <w:t>dicha</w:t>
      </w:r>
      <w:r w:rsidR="005B3987" w:rsidRPr="00DE4C98">
        <w:rPr>
          <w:sz w:val="26"/>
          <w:szCs w:val="26"/>
          <w:lang w:val="es-ES"/>
        </w:rPr>
        <w:t xml:space="preserve"> decisión</w:t>
      </w:r>
      <w:r w:rsidR="005B3987" w:rsidRPr="00DE4C98">
        <w:rPr>
          <w:b/>
          <w:bCs/>
          <w:sz w:val="26"/>
          <w:szCs w:val="26"/>
          <w:lang w:val="es-ES"/>
        </w:rPr>
        <w:t xml:space="preserve">, </w:t>
      </w:r>
      <w:r w:rsidR="00623BF8" w:rsidRPr="00DE4C98">
        <w:rPr>
          <w:sz w:val="26"/>
          <w:szCs w:val="26"/>
        </w:rPr>
        <w:t xml:space="preserve">el </w:t>
      </w:r>
      <w:r w:rsidR="00B937C8">
        <w:rPr>
          <w:sz w:val="26"/>
          <w:szCs w:val="26"/>
        </w:rPr>
        <w:t>once</w:t>
      </w:r>
      <w:r w:rsidR="00623BF8" w:rsidRPr="00DE4C98">
        <w:rPr>
          <w:sz w:val="26"/>
          <w:szCs w:val="26"/>
        </w:rPr>
        <w:t xml:space="preserve"> de ju</w:t>
      </w:r>
      <w:r w:rsidR="002B467E" w:rsidRPr="00DE4C98">
        <w:rPr>
          <w:sz w:val="26"/>
          <w:szCs w:val="26"/>
        </w:rPr>
        <w:t>ni</w:t>
      </w:r>
      <w:r w:rsidR="00623BF8" w:rsidRPr="00DE4C98">
        <w:rPr>
          <w:sz w:val="26"/>
          <w:szCs w:val="26"/>
        </w:rPr>
        <w:t>o, la</w:t>
      </w:r>
      <w:r w:rsidR="00C40C3F">
        <w:rPr>
          <w:sz w:val="26"/>
          <w:szCs w:val="26"/>
        </w:rPr>
        <w:t xml:space="preserve"> </w:t>
      </w:r>
      <w:r w:rsidR="00B937C8">
        <w:rPr>
          <w:sz w:val="26"/>
          <w:szCs w:val="26"/>
        </w:rPr>
        <w:t>p</w:t>
      </w:r>
      <w:r w:rsidR="00621784">
        <w:rPr>
          <w:sz w:val="26"/>
          <w:szCs w:val="26"/>
        </w:rPr>
        <w:t xml:space="preserve">arte </w:t>
      </w:r>
      <w:r w:rsidR="004724CC">
        <w:rPr>
          <w:sz w:val="26"/>
          <w:szCs w:val="26"/>
        </w:rPr>
        <w:t xml:space="preserve">ahora </w:t>
      </w:r>
      <w:r w:rsidR="00237A3E">
        <w:rPr>
          <w:sz w:val="26"/>
          <w:szCs w:val="26"/>
        </w:rPr>
        <w:t>recurrente</w:t>
      </w:r>
      <w:r w:rsidR="00623BF8" w:rsidRPr="00DE4C98">
        <w:rPr>
          <w:sz w:val="26"/>
          <w:szCs w:val="26"/>
        </w:rPr>
        <w:t xml:space="preserve"> </w:t>
      </w:r>
      <w:r w:rsidR="004724CC">
        <w:rPr>
          <w:sz w:val="26"/>
          <w:szCs w:val="26"/>
        </w:rPr>
        <w:t>impugn</w:t>
      </w:r>
      <w:r w:rsidR="00621784">
        <w:rPr>
          <w:sz w:val="26"/>
          <w:szCs w:val="26"/>
        </w:rPr>
        <w:t>ó</w:t>
      </w:r>
      <w:r w:rsidR="004724CC">
        <w:rPr>
          <w:sz w:val="26"/>
          <w:szCs w:val="26"/>
        </w:rPr>
        <w:t xml:space="preserve"> </w:t>
      </w:r>
      <w:r w:rsidR="00B155BB" w:rsidRPr="00B155BB">
        <w:rPr>
          <w:sz w:val="26"/>
          <w:szCs w:val="26"/>
        </w:rPr>
        <w:t>dicha decisión</w:t>
      </w:r>
      <w:r w:rsidR="00B155BB">
        <w:rPr>
          <w:sz w:val="26"/>
          <w:szCs w:val="26"/>
        </w:rPr>
        <w:t xml:space="preserve"> </w:t>
      </w:r>
      <w:r w:rsidR="00623BF8" w:rsidRPr="00DE4C98">
        <w:rPr>
          <w:sz w:val="26"/>
          <w:szCs w:val="26"/>
        </w:rPr>
        <w:t xml:space="preserve">ante la </w:t>
      </w:r>
      <w:r w:rsidR="00930409" w:rsidRPr="00DE4C98">
        <w:rPr>
          <w:sz w:val="26"/>
          <w:szCs w:val="26"/>
        </w:rPr>
        <w:t>s</w:t>
      </w:r>
      <w:r w:rsidR="00623BF8" w:rsidRPr="00DE4C98">
        <w:rPr>
          <w:sz w:val="26"/>
          <w:szCs w:val="26"/>
        </w:rPr>
        <w:t xml:space="preserve">ala </w:t>
      </w:r>
      <w:r w:rsidR="003B4DB0" w:rsidRPr="00DE4C98">
        <w:rPr>
          <w:sz w:val="26"/>
          <w:szCs w:val="26"/>
        </w:rPr>
        <w:t>responsable</w:t>
      </w:r>
      <w:r w:rsidR="00930409" w:rsidRPr="00DE4C98">
        <w:rPr>
          <w:sz w:val="26"/>
          <w:szCs w:val="26"/>
        </w:rPr>
        <w:t>,</w:t>
      </w:r>
      <w:r w:rsidR="003B4DB0" w:rsidRPr="00DE4C98">
        <w:rPr>
          <w:sz w:val="26"/>
          <w:szCs w:val="26"/>
        </w:rPr>
        <w:t xml:space="preserve"> </w:t>
      </w:r>
      <w:r w:rsidR="004D22CE" w:rsidRPr="00DE4C98">
        <w:rPr>
          <w:sz w:val="26"/>
          <w:szCs w:val="26"/>
        </w:rPr>
        <w:t>que emitió resolución</w:t>
      </w:r>
      <w:r w:rsidR="00705A32" w:rsidRPr="00DE4C98">
        <w:rPr>
          <w:sz w:val="26"/>
          <w:szCs w:val="26"/>
        </w:rPr>
        <w:t xml:space="preserve"> </w:t>
      </w:r>
      <w:r w:rsidR="00623BF8" w:rsidRPr="00DE4C98">
        <w:rPr>
          <w:sz w:val="26"/>
          <w:szCs w:val="26"/>
        </w:rPr>
        <w:t>confirm</w:t>
      </w:r>
      <w:r w:rsidR="003F052B" w:rsidRPr="00DE4C98">
        <w:rPr>
          <w:sz w:val="26"/>
          <w:szCs w:val="26"/>
        </w:rPr>
        <w:t>ando</w:t>
      </w:r>
      <w:r w:rsidR="00623BF8" w:rsidRPr="00DE4C98">
        <w:rPr>
          <w:sz w:val="26"/>
          <w:szCs w:val="26"/>
        </w:rPr>
        <w:t xml:space="preserve"> </w:t>
      </w:r>
      <w:r w:rsidR="00A7133A" w:rsidRPr="00DE4C98">
        <w:rPr>
          <w:sz w:val="26"/>
          <w:szCs w:val="26"/>
        </w:rPr>
        <w:t xml:space="preserve">la </w:t>
      </w:r>
      <w:r w:rsidR="006637BB" w:rsidRPr="00DE4C98">
        <w:rPr>
          <w:sz w:val="26"/>
          <w:szCs w:val="26"/>
        </w:rPr>
        <w:t>sentencia impugnada</w:t>
      </w:r>
      <w:r w:rsidR="006637BB" w:rsidRPr="00DE4C98">
        <w:rPr>
          <w:rFonts w:cstheme="minorBidi"/>
          <w:sz w:val="26"/>
          <w:szCs w:val="26"/>
        </w:rPr>
        <w:t>.</w:t>
      </w:r>
    </w:p>
    <w:p w14:paraId="11B48473" w14:textId="77777777" w:rsidR="00DE4C98" w:rsidRPr="00B8035A" w:rsidRDefault="00DE4C98" w:rsidP="00DE4C98">
      <w:pPr>
        <w:rPr>
          <w:b/>
          <w:iCs/>
          <w:sz w:val="16"/>
          <w:szCs w:val="16"/>
          <w:lang w:val="es-419"/>
        </w:rPr>
      </w:pPr>
    </w:p>
    <w:p w14:paraId="76824CFA" w14:textId="6C0635E7" w:rsidR="0020535C" w:rsidRPr="00DE4C98" w:rsidRDefault="00BA79F2" w:rsidP="00DE4C98">
      <w:pPr>
        <w:rPr>
          <w:sz w:val="26"/>
          <w:szCs w:val="26"/>
          <w:lang w:eastAsia="es-MX"/>
        </w:rPr>
      </w:pPr>
      <w:r>
        <w:rPr>
          <w:b/>
          <w:iCs/>
          <w:sz w:val="26"/>
          <w:szCs w:val="26"/>
          <w:lang w:val="es-419"/>
        </w:rPr>
        <w:t>5</w:t>
      </w:r>
      <w:r w:rsidR="008010D1" w:rsidRPr="00DE4C98">
        <w:rPr>
          <w:b/>
          <w:bCs/>
          <w:sz w:val="26"/>
          <w:szCs w:val="26"/>
          <w:lang w:eastAsia="es-MX"/>
        </w:rPr>
        <w:t>.</w:t>
      </w:r>
      <w:r w:rsidR="008010D1" w:rsidRPr="00DE4C98">
        <w:rPr>
          <w:sz w:val="26"/>
          <w:szCs w:val="26"/>
          <w:lang w:eastAsia="es-MX"/>
        </w:rPr>
        <w:t xml:space="preserve"> </w:t>
      </w:r>
      <w:r w:rsidR="008010D1" w:rsidRPr="00DE4C98">
        <w:rPr>
          <w:b/>
          <w:bCs/>
          <w:sz w:val="26"/>
          <w:szCs w:val="26"/>
          <w:lang w:eastAsia="es-MX"/>
        </w:rPr>
        <w:t>Recurso de reconsideración</w:t>
      </w:r>
      <w:r w:rsidR="008010D1" w:rsidRPr="00DE4C98">
        <w:rPr>
          <w:sz w:val="26"/>
          <w:szCs w:val="26"/>
          <w:lang w:eastAsia="es-MX"/>
        </w:rPr>
        <w:t xml:space="preserve">. </w:t>
      </w:r>
      <w:r w:rsidR="00E3473E" w:rsidRPr="00DE4C98">
        <w:rPr>
          <w:rFonts w:cstheme="minorBidi"/>
          <w:sz w:val="26"/>
          <w:szCs w:val="26"/>
        </w:rPr>
        <w:t>Inconforme con tal determinación, e</w:t>
      </w:r>
      <w:r w:rsidR="008010D1" w:rsidRPr="00DE4C98">
        <w:rPr>
          <w:sz w:val="26"/>
          <w:szCs w:val="26"/>
          <w:lang w:eastAsia="es-MX"/>
        </w:rPr>
        <w:t xml:space="preserve">l </w:t>
      </w:r>
      <w:r w:rsidR="00621784">
        <w:rPr>
          <w:sz w:val="26"/>
          <w:szCs w:val="26"/>
          <w:lang w:eastAsia="es-MX"/>
        </w:rPr>
        <w:t>diez</w:t>
      </w:r>
      <w:r w:rsidR="008010D1" w:rsidRPr="00DE4C98">
        <w:rPr>
          <w:sz w:val="26"/>
          <w:szCs w:val="26"/>
          <w:lang w:eastAsia="es-MX"/>
        </w:rPr>
        <w:t xml:space="preserve"> de </w:t>
      </w:r>
      <w:r w:rsidR="008224E2" w:rsidRPr="00DE4C98">
        <w:rPr>
          <w:sz w:val="26"/>
          <w:szCs w:val="26"/>
          <w:lang w:eastAsia="es-MX"/>
        </w:rPr>
        <w:t>julio</w:t>
      </w:r>
      <w:r w:rsidR="008010D1" w:rsidRPr="00DE4C98">
        <w:rPr>
          <w:sz w:val="26"/>
          <w:szCs w:val="26"/>
          <w:lang w:eastAsia="es-MX"/>
        </w:rPr>
        <w:t xml:space="preserve">, </w:t>
      </w:r>
      <w:r w:rsidR="00051C58" w:rsidRPr="00DE4C98">
        <w:rPr>
          <w:sz w:val="26"/>
          <w:szCs w:val="26"/>
          <w:lang w:eastAsia="es-MX"/>
        </w:rPr>
        <w:t>la</w:t>
      </w:r>
      <w:r w:rsidR="008010D1" w:rsidRPr="00DE4C98">
        <w:rPr>
          <w:sz w:val="26"/>
          <w:szCs w:val="26"/>
          <w:lang w:eastAsia="es-MX"/>
        </w:rPr>
        <w:t xml:space="preserve"> recurrente</w:t>
      </w:r>
      <w:r w:rsidR="000870E4" w:rsidRPr="00DE4C98">
        <w:rPr>
          <w:sz w:val="26"/>
          <w:szCs w:val="26"/>
          <w:lang w:eastAsia="es-MX"/>
        </w:rPr>
        <w:t xml:space="preserve"> </w:t>
      </w:r>
      <w:r w:rsidR="0004469E" w:rsidRPr="0004469E">
        <w:rPr>
          <w:sz w:val="26"/>
          <w:szCs w:val="26"/>
          <w:lang w:eastAsia="es-MX"/>
        </w:rPr>
        <w:t xml:space="preserve">interpuso </w:t>
      </w:r>
      <w:r w:rsidR="0020535C" w:rsidRPr="00DE4C98">
        <w:rPr>
          <w:sz w:val="26"/>
          <w:szCs w:val="26"/>
          <w:lang w:eastAsia="es-MX"/>
        </w:rPr>
        <w:t>recurso de reconsideración.</w:t>
      </w:r>
    </w:p>
    <w:p w14:paraId="106BF199" w14:textId="77777777" w:rsidR="00DE4C98" w:rsidRPr="00B8035A" w:rsidRDefault="00DE4C98" w:rsidP="00DE4C98">
      <w:pPr>
        <w:rPr>
          <w:rFonts w:cstheme="minorBidi"/>
          <w:b/>
          <w:bCs/>
          <w:sz w:val="16"/>
          <w:szCs w:val="16"/>
        </w:rPr>
      </w:pPr>
    </w:p>
    <w:p w14:paraId="1B9904D5" w14:textId="28B52828" w:rsidR="000728DE" w:rsidRPr="00DE4C98" w:rsidRDefault="00F81A27" w:rsidP="00DE4C98">
      <w:pPr>
        <w:rPr>
          <w:bCs/>
          <w:sz w:val="26"/>
          <w:szCs w:val="26"/>
          <w:lang w:val="es-419" w:eastAsia="es-MX"/>
        </w:rPr>
      </w:pPr>
      <w:r>
        <w:rPr>
          <w:rFonts w:cstheme="minorBidi"/>
          <w:b/>
          <w:bCs/>
          <w:sz w:val="26"/>
          <w:szCs w:val="26"/>
        </w:rPr>
        <w:t>6</w:t>
      </w:r>
      <w:r w:rsidR="00D87BBF" w:rsidRPr="00DE4C98">
        <w:rPr>
          <w:rFonts w:cstheme="minorBidi"/>
          <w:b/>
          <w:bCs/>
          <w:sz w:val="26"/>
          <w:szCs w:val="26"/>
        </w:rPr>
        <w:t xml:space="preserve">. </w:t>
      </w:r>
      <w:r w:rsidR="00DC6406" w:rsidRPr="00DE4C98">
        <w:rPr>
          <w:rFonts w:cstheme="minorBidi"/>
          <w:b/>
          <w:bCs/>
          <w:sz w:val="26"/>
          <w:szCs w:val="26"/>
        </w:rPr>
        <w:t>Registro y turno.</w:t>
      </w:r>
      <w:r w:rsidR="0020535C" w:rsidRPr="00DE4C98">
        <w:rPr>
          <w:sz w:val="26"/>
          <w:szCs w:val="26"/>
          <w:lang w:eastAsia="es-MX"/>
        </w:rPr>
        <w:t xml:space="preserve"> </w:t>
      </w:r>
      <w:r w:rsidR="00366C1E" w:rsidRPr="00DE4C98">
        <w:rPr>
          <w:rFonts w:cstheme="minorBidi"/>
          <w:sz w:val="26"/>
          <w:szCs w:val="26"/>
        </w:rPr>
        <w:t xml:space="preserve">Recibidas las constancias en este Órgano jurisdiccional, la Magistrada presidenta ordenó integrar y registrar el expediente </w:t>
      </w:r>
      <w:r w:rsidR="00366C1E" w:rsidRPr="00DE4C98">
        <w:rPr>
          <w:rFonts w:cstheme="minorBidi"/>
          <w:b/>
          <w:bCs/>
          <w:sz w:val="26"/>
          <w:szCs w:val="26"/>
        </w:rPr>
        <w:t>SUP-REC-</w:t>
      </w:r>
      <w:r w:rsidR="00D87BBF" w:rsidRPr="00DE4C98">
        <w:rPr>
          <w:rFonts w:cstheme="minorBidi"/>
          <w:b/>
          <w:bCs/>
          <w:sz w:val="26"/>
          <w:szCs w:val="26"/>
        </w:rPr>
        <w:t>24</w:t>
      </w:r>
      <w:r w:rsidR="00F15AD9">
        <w:rPr>
          <w:rFonts w:cstheme="minorBidi"/>
          <w:b/>
          <w:bCs/>
          <w:sz w:val="26"/>
          <w:szCs w:val="26"/>
        </w:rPr>
        <w:t>6</w:t>
      </w:r>
      <w:r w:rsidR="00366C1E" w:rsidRPr="00DE4C98">
        <w:rPr>
          <w:rFonts w:cstheme="minorBidi"/>
          <w:b/>
          <w:bCs/>
          <w:sz w:val="26"/>
          <w:szCs w:val="26"/>
        </w:rPr>
        <w:t>/2025</w:t>
      </w:r>
      <w:r w:rsidR="00366C1E" w:rsidRPr="00DE4C98">
        <w:rPr>
          <w:rFonts w:cstheme="minorBidi"/>
          <w:sz w:val="26"/>
          <w:szCs w:val="26"/>
        </w:rPr>
        <w:t>, así como turnarlo a la ponencia a su cargo, para los efectos previstos en el artículo 19, de la Ley General del Sistema de Medios de Impugnación en Materia Electoral</w:t>
      </w:r>
      <w:r w:rsidR="00366C1E" w:rsidRPr="00DE4C98">
        <w:rPr>
          <w:rStyle w:val="Refdenotaalpie"/>
          <w:sz w:val="26"/>
          <w:szCs w:val="26"/>
        </w:rPr>
        <w:footnoteReference w:id="8"/>
      </w:r>
      <w:r w:rsidR="000728DE" w:rsidRPr="00DE4C98">
        <w:rPr>
          <w:bCs/>
          <w:sz w:val="26"/>
          <w:szCs w:val="26"/>
          <w:lang w:val="es-419" w:eastAsia="es-MX"/>
        </w:rPr>
        <w:t>.</w:t>
      </w:r>
    </w:p>
    <w:p w14:paraId="246E9450" w14:textId="77777777" w:rsidR="00DE4C98" w:rsidRPr="00B8035A" w:rsidRDefault="00DE4C98" w:rsidP="00DE4C98">
      <w:pPr>
        <w:rPr>
          <w:b/>
          <w:bCs/>
          <w:sz w:val="16"/>
          <w:szCs w:val="16"/>
          <w:lang w:val="es-419" w:eastAsia="es-MX"/>
        </w:rPr>
      </w:pPr>
    </w:p>
    <w:p w14:paraId="2FFCD859" w14:textId="4A0FCAF3" w:rsidR="0053589C" w:rsidRPr="00DE4C98" w:rsidRDefault="00F81A27" w:rsidP="00DE4C98">
      <w:pPr>
        <w:rPr>
          <w:sz w:val="26"/>
          <w:szCs w:val="26"/>
          <w:lang w:val="es-419" w:eastAsia="es-MX"/>
        </w:rPr>
      </w:pPr>
      <w:r>
        <w:rPr>
          <w:b/>
          <w:bCs/>
          <w:sz w:val="26"/>
          <w:szCs w:val="26"/>
          <w:lang w:val="es-419" w:eastAsia="es-MX"/>
        </w:rPr>
        <w:lastRenderedPageBreak/>
        <w:t>7</w:t>
      </w:r>
      <w:r w:rsidR="00EA6743" w:rsidRPr="00DE4C98">
        <w:rPr>
          <w:b/>
          <w:bCs/>
          <w:sz w:val="26"/>
          <w:szCs w:val="26"/>
          <w:lang w:val="es-419" w:eastAsia="es-MX"/>
        </w:rPr>
        <w:t>. Radicación.</w:t>
      </w:r>
      <w:r w:rsidR="00EA6743" w:rsidRPr="00DE4C98">
        <w:rPr>
          <w:sz w:val="26"/>
          <w:szCs w:val="26"/>
          <w:lang w:val="es-419" w:eastAsia="es-MX"/>
        </w:rPr>
        <w:t xml:space="preserve"> En su oportunidad, la Magistrada Instructora acordó radicar el expediente en su ponencia.</w:t>
      </w:r>
    </w:p>
    <w:p w14:paraId="4CBEE536" w14:textId="77777777" w:rsidR="00DE4C98" w:rsidRPr="00B8035A" w:rsidRDefault="00DE4C98" w:rsidP="00DE4C98">
      <w:pPr>
        <w:jc w:val="center"/>
        <w:rPr>
          <w:b/>
          <w:sz w:val="16"/>
          <w:szCs w:val="16"/>
          <w:lang w:val="es-419"/>
        </w:rPr>
      </w:pPr>
    </w:p>
    <w:p w14:paraId="345EC1B3" w14:textId="413C98CE" w:rsidR="008010D1" w:rsidRPr="00DE4C98" w:rsidRDefault="008010D1" w:rsidP="00DE4C98">
      <w:pPr>
        <w:jc w:val="center"/>
        <w:rPr>
          <w:b/>
          <w:sz w:val="26"/>
          <w:szCs w:val="26"/>
          <w:lang w:val="es-419"/>
        </w:rPr>
      </w:pPr>
      <w:r w:rsidRPr="00DE4C98">
        <w:rPr>
          <w:b/>
          <w:sz w:val="26"/>
          <w:szCs w:val="26"/>
          <w:lang w:val="es-419"/>
        </w:rPr>
        <w:t>RAZONES Y FUNDAMENTOS</w:t>
      </w:r>
    </w:p>
    <w:p w14:paraId="196CF470" w14:textId="77777777" w:rsidR="00DE4C98" w:rsidRPr="00B8035A" w:rsidRDefault="00DE4C98" w:rsidP="00AB3A8C">
      <w:pPr>
        <w:tabs>
          <w:tab w:val="left" w:pos="1215"/>
        </w:tabs>
        <w:rPr>
          <w:b/>
          <w:bCs/>
          <w:sz w:val="16"/>
          <w:szCs w:val="16"/>
          <w:lang w:val="es-419"/>
        </w:rPr>
      </w:pPr>
    </w:p>
    <w:p w14:paraId="247D7D5C" w14:textId="266108AD" w:rsidR="000671D7" w:rsidRPr="00DE4C98" w:rsidRDefault="008010D1" w:rsidP="00AB3A8C">
      <w:pPr>
        <w:tabs>
          <w:tab w:val="left" w:pos="1215"/>
        </w:tabs>
        <w:rPr>
          <w:bCs/>
          <w:sz w:val="26"/>
          <w:szCs w:val="26"/>
          <w:lang w:val="es-419"/>
        </w:rPr>
      </w:pPr>
      <w:r w:rsidRPr="00DE4C98">
        <w:rPr>
          <w:b/>
          <w:bCs/>
          <w:sz w:val="26"/>
          <w:szCs w:val="26"/>
          <w:lang w:val="es-419"/>
        </w:rPr>
        <w:t>PRIMERA. Competencia.</w:t>
      </w:r>
      <w:r w:rsidRPr="00DE4C98">
        <w:rPr>
          <w:bCs/>
          <w:sz w:val="26"/>
          <w:szCs w:val="26"/>
          <w:lang w:val="es-419"/>
        </w:rPr>
        <w:t xml:space="preserve"> La Sala Superior es competente para </w:t>
      </w:r>
      <w:r w:rsidR="000C18F7">
        <w:rPr>
          <w:bCs/>
          <w:sz w:val="26"/>
          <w:szCs w:val="26"/>
          <w:lang w:val="es-419"/>
        </w:rPr>
        <w:t xml:space="preserve">conocer y </w:t>
      </w:r>
      <w:r w:rsidRPr="00DE4C98">
        <w:rPr>
          <w:bCs/>
          <w:sz w:val="26"/>
          <w:szCs w:val="26"/>
          <w:lang w:val="es-419"/>
        </w:rPr>
        <w:t xml:space="preserve">resolver el </w:t>
      </w:r>
      <w:r w:rsidR="000671D7" w:rsidRPr="00DE4C98">
        <w:rPr>
          <w:bCs/>
          <w:sz w:val="26"/>
          <w:szCs w:val="26"/>
          <w:lang w:val="es-419"/>
        </w:rPr>
        <w:t>medio de impugnación</w:t>
      </w:r>
      <w:r w:rsidR="00D43369" w:rsidRPr="00DE4C98">
        <w:rPr>
          <w:bCs/>
          <w:sz w:val="26"/>
          <w:szCs w:val="26"/>
          <w:lang w:val="es-419"/>
        </w:rPr>
        <w:t xml:space="preserve">, </w:t>
      </w:r>
      <w:r w:rsidR="000671D7" w:rsidRPr="00DE4C98">
        <w:rPr>
          <w:bCs/>
          <w:sz w:val="26"/>
          <w:szCs w:val="26"/>
          <w:lang w:val="es-419"/>
        </w:rPr>
        <w:t>por</w:t>
      </w:r>
      <w:r w:rsidR="00D43369" w:rsidRPr="00DE4C98">
        <w:rPr>
          <w:bCs/>
          <w:sz w:val="26"/>
          <w:szCs w:val="26"/>
          <w:lang w:val="es-419"/>
        </w:rPr>
        <w:t xml:space="preserve">que se </w:t>
      </w:r>
      <w:r w:rsidR="000671D7" w:rsidRPr="00DE4C98">
        <w:rPr>
          <w:bCs/>
          <w:sz w:val="26"/>
          <w:szCs w:val="26"/>
          <w:lang w:val="es-419"/>
        </w:rPr>
        <w:t>trata de un recurso de reconsideración interpuesto para controvertir una sentencia</w:t>
      </w:r>
      <w:r w:rsidR="00723640">
        <w:rPr>
          <w:bCs/>
          <w:sz w:val="26"/>
          <w:szCs w:val="26"/>
          <w:lang w:val="es-419"/>
        </w:rPr>
        <w:t xml:space="preserve"> </w:t>
      </w:r>
      <w:r w:rsidR="00485925" w:rsidRPr="00DE4C98">
        <w:rPr>
          <w:bCs/>
          <w:sz w:val="26"/>
          <w:szCs w:val="26"/>
          <w:lang w:val="es-419"/>
        </w:rPr>
        <w:t>de fondo dictada</w:t>
      </w:r>
      <w:r w:rsidR="000671D7" w:rsidRPr="00DE4C98">
        <w:rPr>
          <w:bCs/>
          <w:sz w:val="26"/>
          <w:szCs w:val="26"/>
          <w:lang w:val="es-419"/>
        </w:rPr>
        <w:t xml:space="preserve"> por una Sala Regional de</w:t>
      </w:r>
      <w:r w:rsidR="007C11FC" w:rsidRPr="00DE4C98">
        <w:rPr>
          <w:bCs/>
          <w:sz w:val="26"/>
          <w:szCs w:val="26"/>
          <w:lang w:val="es-419"/>
        </w:rPr>
        <w:t>l propio</w:t>
      </w:r>
      <w:r w:rsidR="000671D7" w:rsidRPr="00DE4C98">
        <w:rPr>
          <w:bCs/>
          <w:sz w:val="26"/>
          <w:szCs w:val="26"/>
          <w:lang w:val="es-419"/>
        </w:rPr>
        <w:t xml:space="preserve"> Tribunal, </w:t>
      </w:r>
      <w:r w:rsidR="00DD5ABA">
        <w:rPr>
          <w:bCs/>
          <w:sz w:val="26"/>
          <w:szCs w:val="26"/>
          <w:lang w:val="es-419"/>
        </w:rPr>
        <w:t xml:space="preserve">cuyo </w:t>
      </w:r>
      <w:r w:rsidR="003801A9" w:rsidRPr="003801A9">
        <w:rPr>
          <w:bCs/>
          <w:sz w:val="26"/>
          <w:szCs w:val="26"/>
          <w:lang w:val="es-419"/>
        </w:rPr>
        <w:t>estudio es exclusivo de este órgano jurisdiccional</w:t>
      </w:r>
      <w:r w:rsidR="00F40C49" w:rsidRPr="00DE4C98">
        <w:rPr>
          <w:rStyle w:val="Refdenotaalpie"/>
          <w:bCs/>
          <w:sz w:val="26"/>
          <w:szCs w:val="26"/>
          <w:lang w:val="es-419"/>
        </w:rPr>
        <w:footnoteReference w:id="9"/>
      </w:r>
      <w:r w:rsidR="00F40C49">
        <w:rPr>
          <w:bCs/>
          <w:sz w:val="26"/>
          <w:szCs w:val="26"/>
          <w:lang w:val="es-419"/>
        </w:rPr>
        <w:t>.</w:t>
      </w:r>
    </w:p>
    <w:p w14:paraId="490BAF7B" w14:textId="77777777" w:rsidR="00DE4C98" w:rsidRPr="002914F1" w:rsidRDefault="00DE4C98" w:rsidP="00AB3A8C">
      <w:pPr>
        <w:rPr>
          <w:b/>
          <w:bCs/>
          <w:sz w:val="16"/>
          <w:szCs w:val="16"/>
          <w:lang w:val="es-419"/>
        </w:rPr>
      </w:pPr>
    </w:p>
    <w:p w14:paraId="440676A5" w14:textId="3CCE2BD4" w:rsidR="007E3F36" w:rsidRDefault="008010D1" w:rsidP="00AB3A8C">
      <w:pPr>
        <w:rPr>
          <w:sz w:val="26"/>
          <w:szCs w:val="26"/>
          <w:lang w:val="es-419"/>
        </w:rPr>
      </w:pPr>
      <w:r w:rsidRPr="00DE4C98">
        <w:rPr>
          <w:b/>
          <w:bCs/>
          <w:sz w:val="26"/>
          <w:szCs w:val="26"/>
          <w:lang w:val="es-419"/>
        </w:rPr>
        <w:t>SEGUNDA</w:t>
      </w:r>
      <w:r w:rsidRPr="00DE4C98">
        <w:rPr>
          <w:sz w:val="26"/>
          <w:szCs w:val="26"/>
          <w:lang w:eastAsia="es-MX"/>
        </w:rPr>
        <w:t xml:space="preserve">. </w:t>
      </w:r>
      <w:r w:rsidRPr="00DE4C98">
        <w:rPr>
          <w:b/>
          <w:bCs/>
          <w:sz w:val="26"/>
          <w:szCs w:val="26"/>
          <w:lang w:eastAsia="es-MX"/>
        </w:rPr>
        <w:t>Improcedencia</w:t>
      </w:r>
      <w:r w:rsidRPr="00DE4C98">
        <w:rPr>
          <w:b/>
          <w:bCs/>
          <w:sz w:val="26"/>
          <w:szCs w:val="26"/>
          <w:lang w:val="es-419"/>
        </w:rPr>
        <w:t xml:space="preserve">. </w:t>
      </w:r>
      <w:r w:rsidR="0092569F" w:rsidRPr="0092569F">
        <w:rPr>
          <w:sz w:val="26"/>
          <w:szCs w:val="26"/>
          <w:lang w:val="es-419"/>
        </w:rPr>
        <w:t>Se</w:t>
      </w:r>
      <w:r w:rsidR="003C4F47" w:rsidRPr="00DE4C98">
        <w:rPr>
          <w:sz w:val="26"/>
          <w:szCs w:val="26"/>
          <w:lang w:val="es-419"/>
        </w:rPr>
        <w:t xml:space="preserve"> considera que </w:t>
      </w:r>
      <w:r w:rsidR="00531A41" w:rsidRPr="00531A41">
        <w:rPr>
          <w:sz w:val="26"/>
          <w:szCs w:val="26"/>
          <w:lang w:val="es-419"/>
        </w:rPr>
        <w:t>recurso de reconsideración es improcedente, al haberse presentado fuera del plazo previsto en el artículo 66, párrafo 1, inciso a), de la Ley de Medios, por lo que se actualiza la causal de improcedencia contemplada en el artículo 10, párrafo 1, inciso b), del mismo ordenamiento</w:t>
      </w:r>
      <w:r w:rsidR="00531A41">
        <w:rPr>
          <w:sz w:val="26"/>
          <w:szCs w:val="26"/>
          <w:lang w:val="es-419"/>
        </w:rPr>
        <w:t>.</w:t>
      </w:r>
    </w:p>
    <w:p w14:paraId="4501A9C0" w14:textId="77777777" w:rsidR="007E3F36" w:rsidRPr="002914F1" w:rsidRDefault="007E3F36" w:rsidP="00AB3A8C">
      <w:pPr>
        <w:rPr>
          <w:sz w:val="16"/>
          <w:szCs w:val="16"/>
          <w:lang w:val="es-419"/>
        </w:rPr>
      </w:pPr>
    </w:p>
    <w:p w14:paraId="425ED0AF" w14:textId="77777777" w:rsidR="007E66D3" w:rsidRPr="00C60A94" w:rsidRDefault="007E66D3" w:rsidP="00AB3A8C">
      <w:pPr>
        <w:rPr>
          <w:bCs/>
          <w:sz w:val="26"/>
          <w:szCs w:val="26"/>
        </w:rPr>
      </w:pPr>
      <w:r w:rsidRPr="00C60A94">
        <w:rPr>
          <w:b/>
          <w:sz w:val="26"/>
          <w:szCs w:val="26"/>
        </w:rPr>
        <w:t xml:space="preserve">1. Marco jurídico. </w:t>
      </w:r>
      <w:r w:rsidRPr="00C60A94">
        <w:rPr>
          <w:bCs/>
          <w:sz w:val="26"/>
          <w:szCs w:val="26"/>
        </w:rPr>
        <w:t>De conformidad con lo previsto en los artículos 9, párrafo 3 y 10, párrafo 1, inciso b)</w:t>
      </w:r>
      <w:r w:rsidRPr="00C60A94">
        <w:rPr>
          <w:rStyle w:val="Refdenotaalpie"/>
          <w:bCs/>
          <w:sz w:val="26"/>
          <w:szCs w:val="26"/>
        </w:rPr>
        <w:footnoteReference w:id="10"/>
      </w:r>
      <w:r w:rsidRPr="00C60A94">
        <w:rPr>
          <w:bCs/>
          <w:sz w:val="26"/>
          <w:szCs w:val="26"/>
        </w:rPr>
        <w:t xml:space="preserve">, de la </w:t>
      </w:r>
      <w:r w:rsidRPr="00C60A94">
        <w:rPr>
          <w:sz w:val="26"/>
          <w:szCs w:val="26"/>
        </w:rPr>
        <w:t xml:space="preserve">LGSMIME, </w:t>
      </w:r>
      <w:r w:rsidRPr="00C60A94">
        <w:rPr>
          <w:bCs/>
          <w:sz w:val="26"/>
          <w:szCs w:val="26"/>
        </w:rPr>
        <w:t xml:space="preserve">se desecharán de plano las demandas de </w:t>
      </w:r>
      <w:r>
        <w:rPr>
          <w:bCs/>
          <w:sz w:val="26"/>
          <w:szCs w:val="26"/>
        </w:rPr>
        <w:t xml:space="preserve">los </w:t>
      </w:r>
      <w:r w:rsidRPr="00C60A94">
        <w:rPr>
          <w:bCs/>
          <w:sz w:val="26"/>
          <w:szCs w:val="26"/>
        </w:rPr>
        <w:t>medios de impugnación que sean notoriamente improcedentes, en términos del ordenamiento, disponiéndose como supuesto de improcedencia que la demanda no se presente dentro de los plazos señalados en la ley.</w:t>
      </w:r>
    </w:p>
    <w:p w14:paraId="4A78A284" w14:textId="77777777" w:rsidR="007E66D3" w:rsidRPr="00520F70" w:rsidRDefault="007E66D3" w:rsidP="00AB3A8C">
      <w:pPr>
        <w:rPr>
          <w:bCs/>
          <w:sz w:val="24"/>
          <w:szCs w:val="24"/>
        </w:rPr>
      </w:pPr>
    </w:p>
    <w:p w14:paraId="10FF6CBC" w14:textId="333BEB21" w:rsidR="007E66D3" w:rsidRDefault="007E66D3" w:rsidP="00AB3A8C">
      <w:pPr>
        <w:rPr>
          <w:bCs/>
          <w:szCs w:val="27"/>
        </w:rPr>
      </w:pPr>
      <w:r>
        <w:rPr>
          <w:bCs/>
          <w:szCs w:val="27"/>
        </w:rPr>
        <w:lastRenderedPageBreak/>
        <w:t>Al tenor de lo establecido en el artículo 66, párrafo 1, inciso a)</w:t>
      </w:r>
      <w:r>
        <w:rPr>
          <w:rStyle w:val="Refdenotaalpie"/>
          <w:bCs/>
          <w:szCs w:val="27"/>
        </w:rPr>
        <w:footnoteReference w:id="11"/>
      </w:r>
      <w:r>
        <w:rPr>
          <w:bCs/>
          <w:szCs w:val="27"/>
        </w:rPr>
        <w:t xml:space="preserve">, de la LGSMIME, </w:t>
      </w:r>
      <w:r w:rsidR="00470641">
        <w:rPr>
          <w:bCs/>
          <w:szCs w:val="27"/>
        </w:rPr>
        <w:t xml:space="preserve">dispone que </w:t>
      </w:r>
      <w:r>
        <w:rPr>
          <w:bCs/>
          <w:szCs w:val="27"/>
        </w:rPr>
        <w:t xml:space="preserve">el recurso de reconsideración debe presentarse dentro de los </w:t>
      </w:r>
      <w:r w:rsidRPr="003E44DE">
        <w:rPr>
          <w:bCs/>
          <w:szCs w:val="27"/>
        </w:rPr>
        <w:t xml:space="preserve">tres días contados a partir del día siguiente </w:t>
      </w:r>
      <w:r>
        <w:rPr>
          <w:bCs/>
          <w:szCs w:val="27"/>
        </w:rPr>
        <w:t xml:space="preserve">a que se haya notificado la </w:t>
      </w:r>
      <w:r w:rsidRPr="003E44DE">
        <w:rPr>
          <w:bCs/>
          <w:szCs w:val="27"/>
        </w:rPr>
        <w:t>sentencia de la Sala Regional</w:t>
      </w:r>
      <w:r>
        <w:rPr>
          <w:bCs/>
          <w:szCs w:val="27"/>
        </w:rPr>
        <w:t>.</w:t>
      </w:r>
    </w:p>
    <w:p w14:paraId="31FB266A" w14:textId="77777777" w:rsidR="007E66D3" w:rsidRDefault="007E66D3" w:rsidP="00AB3A8C">
      <w:pPr>
        <w:rPr>
          <w:bCs/>
          <w:szCs w:val="27"/>
        </w:rPr>
      </w:pPr>
    </w:p>
    <w:p w14:paraId="08851E09" w14:textId="1751A0C6" w:rsidR="00785546" w:rsidRDefault="005064A4" w:rsidP="00AB3A8C">
      <w:pPr>
        <w:rPr>
          <w:bCs/>
          <w:szCs w:val="27"/>
        </w:rPr>
      </w:pPr>
      <w:r w:rsidRPr="005064A4">
        <w:rPr>
          <w:bCs/>
          <w:szCs w:val="27"/>
        </w:rPr>
        <w:t>Como la propia naturaleza del recurso de reconsideración lo señala, este es el medio de impugnación a través del cual se pueden controvertir las sentencias de las Salas Regionales de este Tribunal Electoral, lo que sucede en el caso que nos ocupa, por lo que su tramitación y resolución se rige por las reglas y principios procesales contemplados en la Ley de Medios para dicho recurso, dentro de lo cual se reconoce un plazo específico para la presentación oportuna de la demanda.</w:t>
      </w:r>
    </w:p>
    <w:p w14:paraId="5E3DA07D" w14:textId="77777777" w:rsidR="00785546" w:rsidRDefault="00785546" w:rsidP="00AB3A8C">
      <w:pPr>
        <w:rPr>
          <w:bCs/>
          <w:szCs w:val="27"/>
        </w:rPr>
      </w:pPr>
    </w:p>
    <w:p w14:paraId="62FFF66B" w14:textId="65534BC6" w:rsidR="008C3A44" w:rsidRPr="008C3A44" w:rsidRDefault="008C3A44" w:rsidP="00AB3A8C">
      <w:pPr>
        <w:rPr>
          <w:b/>
          <w:szCs w:val="27"/>
        </w:rPr>
      </w:pPr>
      <w:r>
        <w:rPr>
          <w:b/>
          <w:szCs w:val="27"/>
        </w:rPr>
        <w:t xml:space="preserve">2. </w:t>
      </w:r>
      <w:r w:rsidRPr="008C3A44">
        <w:rPr>
          <w:b/>
          <w:szCs w:val="27"/>
        </w:rPr>
        <w:t>Caso concreto</w:t>
      </w:r>
    </w:p>
    <w:p w14:paraId="7B57825C" w14:textId="77777777" w:rsidR="008C3A44" w:rsidRDefault="008C3A44" w:rsidP="00AB3A8C">
      <w:pPr>
        <w:rPr>
          <w:bCs/>
          <w:szCs w:val="27"/>
        </w:rPr>
      </w:pPr>
    </w:p>
    <w:p w14:paraId="109D4030" w14:textId="294C2261" w:rsidR="008C3A44" w:rsidRPr="00090EB9" w:rsidRDefault="008C3A44" w:rsidP="00AB3A8C">
      <w:pPr>
        <w:rPr>
          <w:b/>
          <w:szCs w:val="27"/>
        </w:rPr>
      </w:pPr>
      <w:r w:rsidRPr="008C3A44">
        <w:rPr>
          <w:bCs/>
          <w:szCs w:val="27"/>
        </w:rPr>
        <w:t xml:space="preserve">En el caso, con independencia de que se pudiera actualizar alguna otra causal de improcedencia, esta Sala Superior considera que </w:t>
      </w:r>
      <w:r w:rsidRPr="00090EB9">
        <w:rPr>
          <w:b/>
          <w:szCs w:val="27"/>
        </w:rPr>
        <w:t>el recurso de reconsideración es improcedente, porque el escrito de demanda se presentó fuera del plazo de tres días hábiles.</w:t>
      </w:r>
    </w:p>
    <w:p w14:paraId="7BB438B1" w14:textId="77777777" w:rsidR="008C3A44" w:rsidRPr="008C3A44" w:rsidRDefault="008C3A44" w:rsidP="00AB3A8C">
      <w:pPr>
        <w:rPr>
          <w:bCs/>
          <w:szCs w:val="27"/>
        </w:rPr>
      </w:pPr>
    </w:p>
    <w:p w14:paraId="061008D1" w14:textId="50C1B411" w:rsidR="00785546" w:rsidRDefault="008C3A44" w:rsidP="00AB3A8C">
      <w:pPr>
        <w:rPr>
          <w:bCs/>
          <w:szCs w:val="27"/>
        </w:rPr>
      </w:pPr>
      <w:r w:rsidRPr="008C3A44">
        <w:rPr>
          <w:bCs/>
          <w:szCs w:val="27"/>
        </w:rPr>
        <w:t xml:space="preserve">La parte recurrente controvierte la sentencia de </w:t>
      </w:r>
      <w:r w:rsidR="00237672">
        <w:rPr>
          <w:bCs/>
          <w:szCs w:val="27"/>
        </w:rPr>
        <w:t>cuatro</w:t>
      </w:r>
      <w:r w:rsidRPr="008C3A44">
        <w:rPr>
          <w:bCs/>
          <w:szCs w:val="27"/>
        </w:rPr>
        <w:t xml:space="preserve"> de </w:t>
      </w:r>
      <w:r w:rsidR="00237672">
        <w:rPr>
          <w:bCs/>
          <w:szCs w:val="27"/>
        </w:rPr>
        <w:t>julio</w:t>
      </w:r>
      <w:r w:rsidRPr="008C3A44">
        <w:rPr>
          <w:bCs/>
          <w:szCs w:val="27"/>
        </w:rPr>
        <w:t xml:space="preserve"> del presente año dictada por la Sala Regional </w:t>
      </w:r>
      <w:r w:rsidR="00237672">
        <w:rPr>
          <w:bCs/>
          <w:szCs w:val="27"/>
        </w:rPr>
        <w:t>Monterrey</w:t>
      </w:r>
      <w:r w:rsidRPr="008C3A44">
        <w:rPr>
          <w:bCs/>
          <w:szCs w:val="27"/>
        </w:rPr>
        <w:t xml:space="preserve"> en el expediente SM-J</w:t>
      </w:r>
      <w:r w:rsidR="002F468F">
        <w:rPr>
          <w:bCs/>
          <w:szCs w:val="27"/>
        </w:rPr>
        <w:t>G</w:t>
      </w:r>
      <w:r w:rsidRPr="008C3A44">
        <w:rPr>
          <w:bCs/>
          <w:szCs w:val="27"/>
        </w:rPr>
        <w:t>-</w:t>
      </w:r>
      <w:r w:rsidR="002F468F">
        <w:rPr>
          <w:bCs/>
          <w:szCs w:val="27"/>
        </w:rPr>
        <w:t>53</w:t>
      </w:r>
      <w:r w:rsidRPr="008C3A44">
        <w:rPr>
          <w:bCs/>
          <w:szCs w:val="27"/>
        </w:rPr>
        <w:t>/202</w:t>
      </w:r>
      <w:r w:rsidR="002F468F">
        <w:rPr>
          <w:bCs/>
          <w:szCs w:val="27"/>
        </w:rPr>
        <w:t>5</w:t>
      </w:r>
      <w:r w:rsidRPr="008C3A44">
        <w:rPr>
          <w:bCs/>
          <w:szCs w:val="27"/>
        </w:rPr>
        <w:t>, la cual le fue notificada el mismo</w:t>
      </w:r>
      <w:r w:rsidR="00EB5A44">
        <w:rPr>
          <w:bCs/>
          <w:szCs w:val="27"/>
        </w:rPr>
        <w:t xml:space="preserve"> día </w:t>
      </w:r>
      <w:r w:rsidR="005E6530" w:rsidRPr="00920671">
        <w:rPr>
          <w:sz w:val="26"/>
          <w:szCs w:val="26"/>
          <w:lang w:val="es-419"/>
        </w:rPr>
        <w:t xml:space="preserve">mediante cédula de notificación </w:t>
      </w:r>
      <w:r w:rsidR="005E6530">
        <w:rPr>
          <w:sz w:val="26"/>
          <w:szCs w:val="26"/>
          <w:lang w:val="es-419"/>
        </w:rPr>
        <w:t>electrónica</w:t>
      </w:r>
      <w:r w:rsidR="005E6530">
        <w:rPr>
          <w:rStyle w:val="Refdenotaalpie"/>
          <w:sz w:val="26"/>
          <w:szCs w:val="26"/>
          <w:lang w:val="es-419"/>
        </w:rPr>
        <w:footnoteReference w:id="12"/>
      </w:r>
      <w:r w:rsidRPr="008C3A44">
        <w:rPr>
          <w:bCs/>
          <w:szCs w:val="27"/>
        </w:rPr>
        <w:t>, tal y como consta de la siguiente cédula de notificación:</w:t>
      </w:r>
    </w:p>
    <w:p w14:paraId="374179E6" w14:textId="77777777" w:rsidR="008C3A44" w:rsidRDefault="008C3A44" w:rsidP="00AB3A8C">
      <w:pPr>
        <w:rPr>
          <w:bCs/>
          <w:szCs w:val="27"/>
        </w:rPr>
      </w:pPr>
    </w:p>
    <w:p w14:paraId="026E1297" w14:textId="1CBB62B3" w:rsidR="008C3A44" w:rsidRDefault="00FD7795" w:rsidP="00AB3A8C">
      <w:pPr>
        <w:rPr>
          <w:bCs/>
          <w:szCs w:val="27"/>
        </w:rPr>
      </w:pPr>
      <w:r>
        <w:rPr>
          <w:bCs/>
          <w:noProof/>
          <w:szCs w:val="27"/>
          <w14:ligatures w14:val="standardContextual"/>
        </w:rPr>
        <mc:AlternateContent>
          <mc:Choice Requires="wpi">
            <w:drawing>
              <wp:anchor distT="0" distB="0" distL="114300" distR="114300" simplePos="0" relativeHeight="251659264" behindDoc="0" locked="0" layoutInCell="1" allowOverlap="1" wp14:anchorId="5BC63076" wp14:editId="309BF09D">
                <wp:simplePos x="0" y="0"/>
                <wp:positionH relativeFrom="column">
                  <wp:posOffset>8860509</wp:posOffset>
                </wp:positionH>
                <wp:positionV relativeFrom="paragraph">
                  <wp:posOffset>2543899</wp:posOffset>
                </wp:positionV>
                <wp:extent cx="7200" cy="360"/>
                <wp:effectExtent l="133350" t="133350" r="88265" b="133350"/>
                <wp:wrapNone/>
                <wp:docPr id="1982126616" name="Entrada de lápiz 2"/>
                <wp:cNvGraphicFramePr/>
                <a:graphic xmlns:a="http://schemas.openxmlformats.org/drawingml/2006/main">
                  <a:graphicData uri="http://schemas.microsoft.com/office/word/2010/wordprocessingInk">
                    <w14:contentPart bwMode="auto" r:id="rId8">
                      <w14:nvContentPartPr>
                        <w14:cNvContentPartPr/>
                      </w14:nvContentPartPr>
                      <w14:xfrm>
                        <a:off x="0" y="0"/>
                        <a:ext cx="7200" cy="360"/>
                      </w14:xfrm>
                    </w14:contentPart>
                  </a:graphicData>
                </a:graphic>
              </wp:anchor>
            </w:drawing>
          </mc:Choice>
          <mc:Fallback>
            <w:pict>
              <v:shapetype w14:anchorId="2EBAEE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2" o:spid="_x0000_s1026" type="#_x0000_t75" style="position:absolute;margin-left:692.5pt;margin-top:195.35pt;width:11pt;height:9.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">
                <v:imagedata r:id="rId9" o:title=""/>
              </v:shape>
            </w:pict>
          </mc:Fallback>
        </mc:AlternateContent>
      </w:r>
    </w:p>
    <w:p w14:paraId="4E70BC50" w14:textId="6CCD51B0" w:rsidR="008C3A44" w:rsidRDefault="00386FEC" w:rsidP="00AB3A8C">
      <w:pPr>
        <w:rPr>
          <w:bCs/>
          <w:szCs w:val="27"/>
        </w:rPr>
      </w:pPr>
      <w:r>
        <w:rPr>
          <w:noProof/>
        </w:rPr>
        <w:lastRenderedPageBreak/>
        <w:drawing>
          <wp:inline distT="0" distB="0" distL="0" distR="0" wp14:anchorId="36E5CD8B" wp14:editId="1BC3D0E4">
            <wp:extent cx="5343525" cy="5638800"/>
            <wp:effectExtent l="0" t="0" r="9525" b="0"/>
            <wp:docPr id="1793840955" name="Imagen 1" descr="Interfaz de usuario gráfica, Aplicación, Wor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40955" name="Imagen 1" descr="Interfaz de usuario gráfica, Aplicación, Word&#10;&#10;El contenido generado por IA puede ser incorrecto."/>
                    <pic:cNvPicPr/>
                  </pic:nvPicPr>
                  <pic:blipFill rotWithShape="1">
                    <a:blip r:embed="rId10"/>
                    <a:srcRect l="19579" t="27907" r="61547" b="9302"/>
                    <a:stretch>
                      <a:fillRect/>
                    </a:stretch>
                  </pic:blipFill>
                  <pic:spPr bwMode="auto">
                    <a:xfrm>
                      <a:off x="0" y="0"/>
                      <a:ext cx="5343525" cy="5638800"/>
                    </a:xfrm>
                    <a:prstGeom prst="rect">
                      <a:avLst/>
                    </a:prstGeom>
                    <a:ln>
                      <a:noFill/>
                    </a:ln>
                    <a:extLst>
                      <a:ext uri="{53640926-AAD7-44D8-BBD7-CCE9431645EC}">
                        <a14:shadowObscured xmlns:a14="http://schemas.microsoft.com/office/drawing/2010/main"/>
                      </a:ext>
                    </a:extLst>
                  </pic:spPr>
                </pic:pic>
              </a:graphicData>
            </a:graphic>
          </wp:inline>
        </w:drawing>
      </w:r>
    </w:p>
    <w:p w14:paraId="6F95A3AE" w14:textId="77777777" w:rsidR="00EB5A44" w:rsidRDefault="00EB5A44" w:rsidP="00AB3A8C">
      <w:pPr>
        <w:rPr>
          <w:bCs/>
          <w:szCs w:val="27"/>
        </w:rPr>
      </w:pPr>
    </w:p>
    <w:p w14:paraId="7A251DD8" w14:textId="44FDCC4F" w:rsidR="00DE6D94" w:rsidRPr="00DE6D94" w:rsidRDefault="00DE6D94" w:rsidP="00AB3A8C">
      <w:pPr>
        <w:rPr>
          <w:bCs/>
          <w:szCs w:val="27"/>
        </w:rPr>
      </w:pPr>
      <w:r w:rsidRPr="00DE6D94">
        <w:rPr>
          <w:bCs/>
          <w:szCs w:val="27"/>
        </w:rPr>
        <w:t>Incluso l</w:t>
      </w:r>
      <w:r>
        <w:rPr>
          <w:bCs/>
          <w:szCs w:val="27"/>
        </w:rPr>
        <w:t>a</w:t>
      </w:r>
      <w:r w:rsidRPr="00DE6D94">
        <w:rPr>
          <w:bCs/>
          <w:szCs w:val="27"/>
        </w:rPr>
        <w:t xml:space="preserve"> recurrente refiere en su demanda que tuvo conocimiento de la sentencia impugnada el </w:t>
      </w:r>
      <w:r w:rsidR="007376D9">
        <w:rPr>
          <w:bCs/>
          <w:szCs w:val="27"/>
        </w:rPr>
        <w:t>cuatro</w:t>
      </w:r>
      <w:r w:rsidRPr="00DE6D94">
        <w:rPr>
          <w:bCs/>
          <w:szCs w:val="27"/>
        </w:rPr>
        <w:t xml:space="preserve"> de </w:t>
      </w:r>
      <w:r w:rsidR="007376D9">
        <w:rPr>
          <w:bCs/>
          <w:szCs w:val="27"/>
        </w:rPr>
        <w:t>julio</w:t>
      </w:r>
      <w:r w:rsidRPr="00DE6D94">
        <w:rPr>
          <w:bCs/>
          <w:szCs w:val="27"/>
        </w:rPr>
        <w:t xml:space="preserve"> del año en curso.</w:t>
      </w:r>
    </w:p>
    <w:p w14:paraId="7CF6E785" w14:textId="77777777" w:rsidR="00DE6D94" w:rsidRPr="00DE6D94" w:rsidRDefault="00DE6D94" w:rsidP="00AB3A8C">
      <w:pPr>
        <w:rPr>
          <w:bCs/>
          <w:szCs w:val="27"/>
        </w:rPr>
      </w:pPr>
    </w:p>
    <w:p w14:paraId="5EE5D610" w14:textId="66F0B9C2" w:rsidR="007B4556" w:rsidRDefault="00DE6D94" w:rsidP="00AB3A8C">
      <w:pPr>
        <w:rPr>
          <w:bCs/>
          <w:szCs w:val="27"/>
        </w:rPr>
      </w:pPr>
      <w:r w:rsidRPr="00DE6D94">
        <w:rPr>
          <w:bCs/>
          <w:szCs w:val="27"/>
        </w:rPr>
        <w:t xml:space="preserve">Ahora bien, </w:t>
      </w:r>
      <w:r w:rsidR="007B4556" w:rsidRPr="007B4556">
        <w:rPr>
          <w:bCs/>
          <w:szCs w:val="27"/>
        </w:rPr>
        <w:t xml:space="preserve">considerando que la controversia no se encuentra vinculada a ningún proceso electoral en curso, sino que se enmarca en el contexto de un procedimiento sancionador electoral derivado de una sentencia del Tribunal Electoral del Estado de Guanajuato, relativa a la coacción al voto y a la obtención de beneficios indebidos durante el proceso electoral local de </w:t>
      </w:r>
      <w:r w:rsidR="00EE228B">
        <w:rPr>
          <w:bCs/>
          <w:szCs w:val="27"/>
        </w:rPr>
        <w:t>dos mil veinticuatro</w:t>
      </w:r>
      <w:r w:rsidR="00C8339C">
        <w:rPr>
          <w:bCs/>
          <w:szCs w:val="27"/>
        </w:rPr>
        <w:t>, en esa entidad federativa</w:t>
      </w:r>
      <w:r w:rsidR="00160FF9">
        <w:rPr>
          <w:bCs/>
          <w:szCs w:val="27"/>
        </w:rPr>
        <w:t>.</w:t>
      </w:r>
    </w:p>
    <w:p w14:paraId="628F4044" w14:textId="4A1B715C" w:rsidR="007B4556" w:rsidRDefault="006336C8" w:rsidP="00AB3A8C">
      <w:pPr>
        <w:rPr>
          <w:bCs/>
          <w:szCs w:val="27"/>
        </w:rPr>
      </w:pPr>
      <w:r w:rsidRPr="006336C8">
        <w:rPr>
          <w:bCs/>
          <w:szCs w:val="27"/>
        </w:rPr>
        <w:t xml:space="preserve">Por ello, si la notificación de la sentencia impugnada se realizó el </w:t>
      </w:r>
      <w:r>
        <w:rPr>
          <w:bCs/>
          <w:szCs w:val="27"/>
        </w:rPr>
        <w:t>cuatro</w:t>
      </w:r>
      <w:r w:rsidRPr="006336C8">
        <w:rPr>
          <w:bCs/>
          <w:szCs w:val="27"/>
        </w:rPr>
        <w:t xml:space="preserve"> de </w:t>
      </w:r>
      <w:r>
        <w:rPr>
          <w:bCs/>
          <w:szCs w:val="27"/>
        </w:rPr>
        <w:t>julio</w:t>
      </w:r>
      <w:r w:rsidRPr="006336C8">
        <w:rPr>
          <w:bCs/>
          <w:szCs w:val="27"/>
        </w:rPr>
        <w:t xml:space="preserve"> por medio de </w:t>
      </w:r>
      <w:r w:rsidR="00C32F79">
        <w:rPr>
          <w:bCs/>
          <w:szCs w:val="27"/>
        </w:rPr>
        <w:t>notificación electrónica</w:t>
      </w:r>
      <w:r w:rsidRPr="006336C8">
        <w:rPr>
          <w:bCs/>
          <w:szCs w:val="27"/>
        </w:rPr>
        <w:t xml:space="preserve">, el plazo de tres </w:t>
      </w:r>
      <w:r w:rsidRPr="006336C8">
        <w:rPr>
          <w:bCs/>
          <w:szCs w:val="27"/>
        </w:rPr>
        <w:lastRenderedPageBreak/>
        <w:t xml:space="preserve">días hábiles previsto en la Ley de Medios para la interposición del recurso de reconsideración transcurrió del </w:t>
      </w:r>
      <w:r w:rsidR="00D9281E" w:rsidRPr="000A422E">
        <w:rPr>
          <w:b/>
          <w:szCs w:val="27"/>
        </w:rPr>
        <w:t>lunes siete</w:t>
      </w:r>
      <w:r w:rsidRPr="000A422E">
        <w:rPr>
          <w:b/>
          <w:szCs w:val="27"/>
        </w:rPr>
        <w:t xml:space="preserve"> al m</w:t>
      </w:r>
      <w:r w:rsidR="00656D05" w:rsidRPr="000A422E">
        <w:rPr>
          <w:b/>
          <w:szCs w:val="27"/>
        </w:rPr>
        <w:t>iércoles nueve</w:t>
      </w:r>
      <w:r w:rsidRPr="000A422E">
        <w:rPr>
          <w:b/>
          <w:szCs w:val="27"/>
        </w:rPr>
        <w:t xml:space="preserve"> de </w:t>
      </w:r>
      <w:r w:rsidR="00656D05" w:rsidRPr="000A422E">
        <w:rPr>
          <w:b/>
          <w:szCs w:val="27"/>
        </w:rPr>
        <w:t>julio</w:t>
      </w:r>
      <w:r w:rsidRPr="000A422E">
        <w:rPr>
          <w:b/>
          <w:szCs w:val="27"/>
        </w:rPr>
        <w:t>,</w:t>
      </w:r>
      <w:r w:rsidRPr="006336C8">
        <w:rPr>
          <w:bCs/>
          <w:szCs w:val="27"/>
        </w:rPr>
        <w:t xml:space="preserve"> sin contar el sábado </w:t>
      </w:r>
      <w:r w:rsidR="006672FA">
        <w:rPr>
          <w:bCs/>
          <w:szCs w:val="27"/>
        </w:rPr>
        <w:t>cinco</w:t>
      </w:r>
      <w:r w:rsidRPr="006336C8">
        <w:rPr>
          <w:bCs/>
          <w:szCs w:val="27"/>
        </w:rPr>
        <w:t xml:space="preserve"> y el domingo </w:t>
      </w:r>
      <w:r w:rsidR="006672FA">
        <w:rPr>
          <w:bCs/>
          <w:szCs w:val="27"/>
        </w:rPr>
        <w:t>seis</w:t>
      </w:r>
      <w:r w:rsidRPr="006336C8">
        <w:rPr>
          <w:bCs/>
          <w:szCs w:val="27"/>
        </w:rPr>
        <w:t xml:space="preserve">. Por lo que, si el medio de impugnación </w:t>
      </w:r>
      <w:r w:rsidRPr="000A422E">
        <w:rPr>
          <w:b/>
          <w:szCs w:val="27"/>
        </w:rPr>
        <w:t>se recibió</w:t>
      </w:r>
      <w:r w:rsidRPr="006336C8">
        <w:rPr>
          <w:bCs/>
          <w:szCs w:val="27"/>
        </w:rPr>
        <w:t xml:space="preserve"> ante la </w:t>
      </w:r>
      <w:r w:rsidR="0037494D">
        <w:rPr>
          <w:bCs/>
          <w:szCs w:val="27"/>
        </w:rPr>
        <w:t xml:space="preserve">Oficialía de Partes de esta Sala Superior </w:t>
      </w:r>
      <w:r w:rsidRPr="000A422E">
        <w:rPr>
          <w:b/>
          <w:szCs w:val="27"/>
        </w:rPr>
        <w:t xml:space="preserve">el </w:t>
      </w:r>
      <w:r w:rsidR="0037494D" w:rsidRPr="000A422E">
        <w:rPr>
          <w:b/>
          <w:szCs w:val="27"/>
        </w:rPr>
        <w:t>diez</w:t>
      </w:r>
      <w:r w:rsidRPr="006336C8">
        <w:rPr>
          <w:bCs/>
          <w:szCs w:val="27"/>
        </w:rPr>
        <w:t xml:space="preserve"> de dicho mes, es evidente que s</w:t>
      </w:r>
      <w:r w:rsidR="00F33635">
        <w:rPr>
          <w:bCs/>
          <w:szCs w:val="27"/>
        </w:rPr>
        <w:t>u</w:t>
      </w:r>
      <w:r w:rsidRPr="006336C8">
        <w:rPr>
          <w:bCs/>
          <w:szCs w:val="27"/>
        </w:rPr>
        <w:t xml:space="preserve"> present</w:t>
      </w:r>
      <w:r w:rsidR="00F33635">
        <w:rPr>
          <w:bCs/>
          <w:szCs w:val="27"/>
        </w:rPr>
        <w:t>ación</w:t>
      </w:r>
      <w:r w:rsidR="00A45FAF">
        <w:rPr>
          <w:bCs/>
          <w:szCs w:val="27"/>
        </w:rPr>
        <w:t xml:space="preserve"> resulta extemporánea</w:t>
      </w:r>
      <w:r w:rsidR="0037494D">
        <w:rPr>
          <w:bCs/>
          <w:szCs w:val="27"/>
        </w:rPr>
        <w:t>.</w:t>
      </w:r>
    </w:p>
    <w:p w14:paraId="78CC2CA0" w14:textId="77777777" w:rsidR="00EB5A44" w:rsidRDefault="00EB5A44" w:rsidP="00AB3A8C">
      <w:pPr>
        <w:rPr>
          <w:bCs/>
          <w:szCs w:val="27"/>
        </w:rPr>
      </w:pPr>
    </w:p>
    <w:p w14:paraId="5A796EBE" w14:textId="138A0F66" w:rsidR="007651C3" w:rsidRPr="007651C3" w:rsidRDefault="00AB3236" w:rsidP="00AB3A8C">
      <w:pPr>
        <w:rPr>
          <w:sz w:val="26"/>
          <w:szCs w:val="26"/>
          <w:lang w:val="es-419"/>
        </w:rPr>
      </w:pPr>
      <w:r>
        <w:rPr>
          <w:rFonts w:eastAsia="Times New Roman"/>
          <w:lang w:val="es-ES" w:eastAsia="es-ES"/>
        </w:rPr>
        <w:t>Aunado a ello,</w:t>
      </w:r>
      <w:r w:rsidRPr="00D579C4">
        <w:rPr>
          <w:rFonts w:eastAsia="Times New Roman"/>
          <w:lang w:val="es-ES" w:eastAsia="es-ES"/>
        </w:rPr>
        <w:t xml:space="preserve"> de las constancias que integran el presente asunto, no se desprenden elementos de los que se infiera algún impedimento material o jurídico de</w:t>
      </w:r>
      <w:r w:rsidR="00091E94">
        <w:rPr>
          <w:rFonts w:eastAsia="Times New Roman"/>
          <w:lang w:val="es-ES" w:eastAsia="es-ES"/>
        </w:rPr>
        <w:t xml:space="preserve"> </w:t>
      </w:r>
      <w:r w:rsidRPr="00D579C4">
        <w:rPr>
          <w:rFonts w:eastAsia="Times New Roman"/>
          <w:lang w:val="es-ES" w:eastAsia="es-ES"/>
        </w:rPr>
        <w:t>l</w:t>
      </w:r>
      <w:r w:rsidR="00091E94">
        <w:rPr>
          <w:rFonts w:eastAsia="Times New Roman"/>
          <w:lang w:val="es-ES" w:eastAsia="es-ES"/>
        </w:rPr>
        <w:t>a</w:t>
      </w:r>
      <w:r w:rsidRPr="00D579C4">
        <w:rPr>
          <w:rFonts w:eastAsia="Times New Roman"/>
          <w:lang w:val="es-ES" w:eastAsia="es-ES"/>
        </w:rPr>
        <w:t xml:space="preserve"> recurrente, a efecto de que estuviera en aptitud de presentarlo ante</w:t>
      </w:r>
      <w:r w:rsidR="00A4726B">
        <w:rPr>
          <w:rFonts w:eastAsia="Times New Roman"/>
          <w:lang w:val="es-ES" w:eastAsia="es-ES"/>
        </w:rPr>
        <w:t xml:space="preserve"> este órgano jurisdiccional, </w:t>
      </w:r>
      <w:r w:rsidR="00E571E2" w:rsidRPr="00E571E2">
        <w:rPr>
          <w:rFonts w:eastAsia="Times New Roman"/>
          <w:lang w:val="es-ES" w:eastAsia="es-ES"/>
        </w:rPr>
        <w:t xml:space="preserve">además que del propio escrito del medio de impugnación tampoco </w:t>
      </w:r>
      <w:r w:rsidR="007651C3" w:rsidRPr="007651C3">
        <w:rPr>
          <w:sz w:val="26"/>
          <w:szCs w:val="26"/>
          <w:lang w:val="es-419"/>
        </w:rPr>
        <w:t xml:space="preserve">existe constancia alguna mediante la cual se acredite que, por causas no imputables a </w:t>
      </w:r>
      <w:r w:rsidR="00E779DC">
        <w:rPr>
          <w:sz w:val="26"/>
          <w:szCs w:val="26"/>
          <w:lang w:val="es-419"/>
        </w:rPr>
        <w:t>ella</w:t>
      </w:r>
      <w:r w:rsidR="007651C3" w:rsidRPr="007651C3">
        <w:rPr>
          <w:sz w:val="26"/>
          <w:szCs w:val="26"/>
          <w:lang w:val="es-419"/>
        </w:rPr>
        <w:t>, o bien, atribuidas a la propia sala, se haya visto imposibilitad</w:t>
      </w:r>
      <w:r w:rsidR="009835D5">
        <w:rPr>
          <w:sz w:val="26"/>
          <w:szCs w:val="26"/>
          <w:lang w:val="es-419"/>
        </w:rPr>
        <w:t>a</w:t>
      </w:r>
      <w:r w:rsidR="007651C3" w:rsidRPr="007651C3">
        <w:rPr>
          <w:sz w:val="26"/>
          <w:szCs w:val="26"/>
          <w:lang w:val="es-419"/>
        </w:rPr>
        <w:t xml:space="preserve"> para cumplir con tal obligación procesal como lo exige la ley de la materia.</w:t>
      </w:r>
    </w:p>
    <w:p w14:paraId="7F9A65C8" w14:textId="77777777" w:rsidR="007651C3" w:rsidRDefault="007651C3" w:rsidP="00AB3A8C">
      <w:pPr>
        <w:rPr>
          <w:sz w:val="26"/>
          <w:szCs w:val="26"/>
          <w:lang w:val="es-419"/>
        </w:rPr>
      </w:pPr>
    </w:p>
    <w:p w14:paraId="10355134" w14:textId="491B4B6D" w:rsidR="00840184" w:rsidRDefault="00840184" w:rsidP="00AB3A8C">
      <w:pPr>
        <w:rPr>
          <w:sz w:val="26"/>
          <w:szCs w:val="26"/>
          <w:lang w:val="es-419"/>
        </w:rPr>
      </w:pPr>
      <w:r w:rsidRPr="00840184">
        <w:rPr>
          <w:sz w:val="26"/>
          <w:szCs w:val="26"/>
          <w:lang w:val="es-419"/>
        </w:rPr>
        <w:t>De ahí que, se arribe a la determinación que en el presente asunto se actualiza la improcedencia indicada, en virtud de que se presentó fuera del plazo legal de tres días.</w:t>
      </w:r>
    </w:p>
    <w:p w14:paraId="5B527DCE" w14:textId="77777777" w:rsidR="00B52A11" w:rsidRDefault="00B52A11" w:rsidP="00AB3A8C">
      <w:pPr>
        <w:rPr>
          <w:sz w:val="26"/>
          <w:szCs w:val="26"/>
          <w:lang w:val="es-419"/>
        </w:rPr>
      </w:pPr>
    </w:p>
    <w:p w14:paraId="24EC2CF4" w14:textId="084289AD" w:rsidR="00920671" w:rsidRPr="00920671" w:rsidRDefault="00920671" w:rsidP="00AB3A8C">
      <w:pPr>
        <w:rPr>
          <w:sz w:val="26"/>
          <w:szCs w:val="26"/>
          <w:lang w:val="es-419"/>
        </w:rPr>
      </w:pPr>
      <w:r w:rsidRPr="00920671">
        <w:rPr>
          <w:sz w:val="26"/>
          <w:szCs w:val="26"/>
          <w:lang w:val="es-419"/>
        </w:rPr>
        <w:t xml:space="preserve">Conforme a lo anterior, esta Sala Superior advierte que el recurso de reconsideración interpuesto por </w:t>
      </w:r>
      <w:r w:rsidR="00E275E6">
        <w:rPr>
          <w:sz w:val="26"/>
          <w:szCs w:val="26"/>
          <w:lang w:val="es-419"/>
        </w:rPr>
        <w:t>la</w:t>
      </w:r>
      <w:r w:rsidRPr="00920671">
        <w:rPr>
          <w:sz w:val="26"/>
          <w:szCs w:val="26"/>
          <w:lang w:val="es-419"/>
        </w:rPr>
        <w:t xml:space="preserve"> recurrente es extemporáneo, porque la Sala Regional </w:t>
      </w:r>
      <w:r w:rsidR="00E275E6">
        <w:rPr>
          <w:sz w:val="26"/>
          <w:szCs w:val="26"/>
          <w:lang w:val="es-419"/>
        </w:rPr>
        <w:t>Monterrey</w:t>
      </w:r>
      <w:r w:rsidRPr="00920671">
        <w:rPr>
          <w:sz w:val="26"/>
          <w:szCs w:val="26"/>
          <w:lang w:val="es-419"/>
        </w:rPr>
        <w:t xml:space="preserve"> le notificó sobre la sentencia impugnada</w:t>
      </w:r>
      <w:r w:rsidR="00666FA3">
        <w:rPr>
          <w:sz w:val="26"/>
          <w:szCs w:val="26"/>
          <w:lang w:val="es-419"/>
        </w:rPr>
        <w:t>.</w:t>
      </w:r>
    </w:p>
    <w:p w14:paraId="13854D02" w14:textId="08303C05" w:rsidR="00920671" w:rsidRPr="00920671" w:rsidRDefault="00920671" w:rsidP="00AB3A8C">
      <w:pPr>
        <w:rPr>
          <w:sz w:val="26"/>
          <w:szCs w:val="26"/>
          <w:lang w:val="es-419"/>
        </w:rPr>
      </w:pPr>
    </w:p>
    <w:p w14:paraId="0644FC38" w14:textId="77777777" w:rsidR="00063F61" w:rsidRPr="00D579C4" w:rsidRDefault="00920671" w:rsidP="00AB3A8C">
      <w:pPr>
        <w:rPr>
          <w:rFonts w:eastAsia="Times New Roman"/>
          <w:bCs/>
          <w:color w:val="000000"/>
          <w:lang w:val="es-ES" w:eastAsia="es-ES"/>
        </w:rPr>
      </w:pPr>
      <w:r w:rsidRPr="00920671">
        <w:rPr>
          <w:sz w:val="26"/>
          <w:szCs w:val="26"/>
          <w:lang w:val="es-419"/>
        </w:rPr>
        <w:t xml:space="preserve">En consecuencia, </w:t>
      </w:r>
      <w:r w:rsidR="00063F61" w:rsidRPr="00D579C4">
        <w:rPr>
          <w:rFonts w:eastAsia="Times New Roman"/>
          <w:bCs/>
          <w:color w:val="000000"/>
          <w:lang w:val="es-ES" w:eastAsia="es-ES"/>
        </w:rPr>
        <w:t>ante la extemporaneidad de la demanda procede su desechamiento de plano, con fundamento en los artículos 3, párrafo 2, inciso a), 9, párrafo 3, 10, párrafo 1, inciso b), 26, y 27 de la Ley de Medios.</w:t>
      </w:r>
    </w:p>
    <w:p w14:paraId="1F8CAFA9" w14:textId="77777777" w:rsidR="00063F61" w:rsidRPr="00D579C4" w:rsidRDefault="00063F61" w:rsidP="00AB3A8C">
      <w:pPr>
        <w:rPr>
          <w:rFonts w:eastAsia="Times New Roman"/>
          <w:lang w:val="es-ES" w:eastAsia="es-ES"/>
        </w:rPr>
      </w:pPr>
    </w:p>
    <w:p w14:paraId="733BAC86" w14:textId="77777777" w:rsidR="00063F61" w:rsidRPr="00D579C4" w:rsidRDefault="00063F61" w:rsidP="00AB3A8C">
      <w:pPr>
        <w:rPr>
          <w:rFonts w:eastAsia="Times New Roman"/>
          <w:lang w:val="es-ES" w:eastAsia="es-ES"/>
        </w:rPr>
      </w:pPr>
      <w:r w:rsidRPr="00D579C4">
        <w:rPr>
          <w:rFonts w:eastAsia="Times New Roman"/>
          <w:lang w:val="es-ES" w:eastAsia="es-ES"/>
        </w:rPr>
        <w:t>Por lo anteriormente expuesto y fundado, se</w:t>
      </w:r>
      <w:r>
        <w:rPr>
          <w:rFonts w:eastAsia="Times New Roman"/>
          <w:lang w:val="es-ES" w:eastAsia="es-ES"/>
        </w:rPr>
        <w:t>:</w:t>
      </w:r>
    </w:p>
    <w:p w14:paraId="15992005" w14:textId="77777777" w:rsidR="00397359" w:rsidRDefault="00397359" w:rsidP="00AB3A8C">
      <w:pPr>
        <w:rPr>
          <w:sz w:val="26"/>
          <w:szCs w:val="26"/>
          <w:lang w:val="es-419"/>
        </w:rPr>
      </w:pPr>
    </w:p>
    <w:p w14:paraId="64C9A174" w14:textId="3A6A3F1C" w:rsidR="00920671" w:rsidRPr="00273A38" w:rsidRDefault="00920671" w:rsidP="001F0228">
      <w:pPr>
        <w:jc w:val="center"/>
        <w:rPr>
          <w:b/>
          <w:bCs/>
          <w:sz w:val="26"/>
          <w:szCs w:val="26"/>
          <w:lang w:val="pt-PT"/>
        </w:rPr>
      </w:pPr>
      <w:r w:rsidRPr="00273A38">
        <w:rPr>
          <w:b/>
          <w:bCs/>
          <w:sz w:val="26"/>
          <w:szCs w:val="26"/>
          <w:lang w:val="pt-PT"/>
        </w:rPr>
        <w:lastRenderedPageBreak/>
        <w:t>R</w:t>
      </w:r>
      <w:r w:rsidR="00397359" w:rsidRPr="00273A38">
        <w:rPr>
          <w:b/>
          <w:bCs/>
          <w:sz w:val="26"/>
          <w:szCs w:val="26"/>
          <w:lang w:val="pt-PT"/>
        </w:rPr>
        <w:t xml:space="preserve"> </w:t>
      </w:r>
      <w:r w:rsidRPr="00273A38">
        <w:rPr>
          <w:b/>
          <w:bCs/>
          <w:sz w:val="26"/>
          <w:szCs w:val="26"/>
          <w:lang w:val="pt-PT"/>
        </w:rPr>
        <w:t>E</w:t>
      </w:r>
      <w:r w:rsidR="00397359" w:rsidRPr="00273A38">
        <w:rPr>
          <w:b/>
          <w:bCs/>
          <w:sz w:val="26"/>
          <w:szCs w:val="26"/>
          <w:lang w:val="pt-PT"/>
        </w:rPr>
        <w:t xml:space="preserve"> </w:t>
      </w:r>
      <w:r w:rsidRPr="00273A38">
        <w:rPr>
          <w:b/>
          <w:bCs/>
          <w:sz w:val="26"/>
          <w:szCs w:val="26"/>
          <w:lang w:val="pt-PT"/>
        </w:rPr>
        <w:t>S</w:t>
      </w:r>
      <w:r w:rsidR="00397359" w:rsidRPr="00273A38">
        <w:rPr>
          <w:b/>
          <w:bCs/>
          <w:sz w:val="26"/>
          <w:szCs w:val="26"/>
          <w:lang w:val="pt-PT"/>
        </w:rPr>
        <w:t xml:space="preserve"> </w:t>
      </w:r>
      <w:r w:rsidR="00483017" w:rsidRPr="00273A38">
        <w:rPr>
          <w:b/>
          <w:bCs/>
          <w:sz w:val="26"/>
          <w:szCs w:val="26"/>
          <w:lang w:val="pt-PT"/>
        </w:rPr>
        <w:t>U E L V E</w:t>
      </w:r>
    </w:p>
    <w:p w14:paraId="38834960" w14:textId="77777777" w:rsidR="00397359" w:rsidRPr="00273A38" w:rsidRDefault="00397359" w:rsidP="001F0228">
      <w:pPr>
        <w:rPr>
          <w:sz w:val="26"/>
          <w:szCs w:val="26"/>
          <w:lang w:val="pt-PT"/>
        </w:rPr>
      </w:pPr>
    </w:p>
    <w:p w14:paraId="67594D40" w14:textId="1EC1463D" w:rsidR="00DC181D" w:rsidRDefault="00920671" w:rsidP="001F0228">
      <w:pPr>
        <w:rPr>
          <w:sz w:val="26"/>
          <w:szCs w:val="26"/>
          <w:lang w:val="es-419"/>
        </w:rPr>
      </w:pPr>
      <w:r w:rsidRPr="00273A38">
        <w:rPr>
          <w:b/>
          <w:bCs/>
          <w:sz w:val="26"/>
          <w:szCs w:val="26"/>
          <w:lang w:val="pt-PT"/>
        </w:rPr>
        <w:t>ÚNICO.</w:t>
      </w:r>
      <w:r w:rsidRPr="00273A38">
        <w:rPr>
          <w:sz w:val="26"/>
          <w:szCs w:val="26"/>
          <w:lang w:val="pt-PT"/>
        </w:rPr>
        <w:t xml:space="preserve"> </w:t>
      </w:r>
      <w:r w:rsidRPr="00920671">
        <w:rPr>
          <w:sz w:val="26"/>
          <w:szCs w:val="26"/>
          <w:lang w:val="es-419"/>
        </w:rPr>
        <w:t xml:space="preserve">Se </w:t>
      </w:r>
      <w:r w:rsidRPr="00483017">
        <w:rPr>
          <w:b/>
          <w:bCs/>
          <w:sz w:val="26"/>
          <w:szCs w:val="26"/>
          <w:lang w:val="es-419"/>
        </w:rPr>
        <w:t xml:space="preserve">desecha </w:t>
      </w:r>
      <w:r w:rsidRPr="00920671">
        <w:rPr>
          <w:sz w:val="26"/>
          <w:szCs w:val="26"/>
          <w:lang w:val="es-419"/>
        </w:rPr>
        <w:t xml:space="preserve">de plano </w:t>
      </w:r>
      <w:r w:rsidR="00483017">
        <w:rPr>
          <w:sz w:val="26"/>
          <w:szCs w:val="26"/>
          <w:lang w:val="es-419"/>
        </w:rPr>
        <w:t>la demanda</w:t>
      </w:r>
      <w:r w:rsidRPr="00920671">
        <w:rPr>
          <w:sz w:val="26"/>
          <w:szCs w:val="26"/>
          <w:lang w:val="es-419"/>
        </w:rPr>
        <w:t>.</w:t>
      </w:r>
    </w:p>
    <w:p w14:paraId="4E5DF5BB" w14:textId="77777777" w:rsidR="00DC181D" w:rsidRDefault="00DC181D" w:rsidP="001F0228">
      <w:pPr>
        <w:rPr>
          <w:sz w:val="26"/>
          <w:szCs w:val="26"/>
          <w:lang w:val="es-419"/>
        </w:rPr>
      </w:pPr>
    </w:p>
    <w:p w14:paraId="4B6A821F" w14:textId="71871185" w:rsidR="008010D1" w:rsidRPr="00DE4C98" w:rsidRDefault="008010D1" w:rsidP="001F0228">
      <w:pPr>
        <w:tabs>
          <w:tab w:val="left" w:pos="1215"/>
        </w:tabs>
        <w:rPr>
          <w:bCs/>
          <w:sz w:val="26"/>
          <w:szCs w:val="26"/>
          <w:lang w:val="es-419"/>
        </w:rPr>
      </w:pPr>
      <w:bookmarkStart w:id="0" w:name="_Hlk32933553"/>
      <w:r w:rsidRPr="00DE4C98">
        <w:rPr>
          <w:b/>
          <w:bCs/>
          <w:sz w:val="26"/>
          <w:szCs w:val="26"/>
          <w:lang w:val="es-419"/>
        </w:rPr>
        <w:t>NOTIFÍQUESE</w:t>
      </w:r>
      <w:r w:rsidRPr="00DE4C98">
        <w:rPr>
          <w:bCs/>
          <w:sz w:val="26"/>
          <w:szCs w:val="26"/>
          <w:lang w:val="es-419"/>
        </w:rPr>
        <w:t xml:space="preserve"> como </w:t>
      </w:r>
      <w:r w:rsidR="00483017">
        <w:rPr>
          <w:bCs/>
          <w:sz w:val="26"/>
          <w:szCs w:val="26"/>
          <w:lang w:val="es-419"/>
        </w:rPr>
        <w:t xml:space="preserve">en Derecho </w:t>
      </w:r>
      <w:r w:rsidRPr="00DE4C98">
        <w:rPr>
          <w:bCs/>
          <w:sz w:val="26"/>
          <w:szCs w:val="26"/>
          <w:lang w:val="es-419"/>
        </w:rPr>
        <w:t>corresponda.</w:t>
      </w:r>
    </w:p>
    <w:p w14:paraId="73F1C416" w14:textId="77777777" w:rsidR="00DE4C98" w:rsidRPr="00DE4C98" w:rsidRDefault="00DE4C98" w:rsidP="001F0228">
      <w:pPr>
        <w:tabs>
          <w:tab w:val="left" w:pos="1215"/>
        </w:tabs>
        <w:rPr>
          <w:bCs/>
          <w:sz w:val="26"/>
          <w:szCs w:val="26"/>
          <w:lang w:val="es-419"/>
        </w:rPr>
      </w:pPr>
    </w:p>
    <w:p w14:paraId="75C1CE6E" w14:textId="77777777" w:rsidR="001F0228" w:rsidRDefault="001F0228" w:rsidP="001F0228">
      <w:pPr>
        <w:pStyle w:val="Normalsentencia"/>
        <w:spacing w:before="0" w:after="0"/>
        <w:ind w:firstLine="0"/>
        <w:contextualSpacing/>
        <w:rPr>
          <w:rFonts w:ascii="Century Gothic" w:hAnsi="Century Gothic"/>
          <w:sz w:val="26"/>
          <w:szCs w:val="26"/>
        </w:rPr>
      </w:pPr>
      <w:r w:rsidRPr="00D579C4">
        <w:rPr>
          <w:rFonts w:ascii="Century Gothic" w:hAnsi="Century Gothic"/>
          <w:sz w:val="26"/>
          <w:szCs w:val="26"/>
        </w:rPr>
        <w:t>En su oportunidad, devuélvase los documentos atinentes y archívese el expediente como asunto total y definitivamente concluido.</w:t>
      </w:r>
    </w:p>
    <w:p w14:paraId="53D3F0E5" w14:textId="77777777" w:rsidR="001F0228" w:rsidRPr="00D579C4" w:rsidRDefault="001F0228" w:rsidP="001F0228">
      <w:pPr>
        <w:pStyle w:val="Normalsentencia"/>
        <w:spacing w:before="0" w:after="0"/>
        <w:ind w:firstLine="0"/>
        <w:contextualSpacing/>
        <w:rPr>
          <w:rFonts w:ascii="Century Gothic" w:hAnsi="Century Gothic"/>
          <w:sz w:val="26"/>
          <w:szCs w:val="26"/>
        </w:rPr>
      </w:pPr>
    </w:p>
    <w:bookmarkEnd w:id="0"/>
    <w:p w14:paraId="6235D137" w14:textId="6CFFCB7F" w:rsidR="008010D1" w:rsidRPr="00DE4C98" w:rsidRDefault="008010D1" w:rsidP="001F0228">
      <w:pPr>
        <w:rPr>
          <w:sz w:val="26"/>
          <w:szCs w:val="26"/>
          <w:lang w:val="es-419" w:eastAsia="es-MX"/>
        </w:rPr>
      </w:pPr>
      <w:r w:rsidRPr="00DE4C98">
        <w:rPr>
          <w:sz w:val="26"/>
          <w:szCs w:val="26"/>
          <w:lang w:val="es-419" w:eastAsia="es-MX"/>
        </w:rPr>
        <w:t xml:space="preserve">Así, por </w:t>
      </w:r>
      <w:r w:rsidR="00721AA6" w:rsidRPr="003F5CEB">
        <w:rPr>
          <w:b/>
          <w:bCs/>
          <w:sz w:val="26"/>
          <w:szCs w:val="26"/>
          <w:lang w:val="es-419" w:eastAsia="es-MX"/>
        </w:rPr>
        <w:t>unanimidad</w:t>
      </w:r>
      <w:r w:rsidRPr="00DE4C98">
        <w:rPr>
          <w:sz w:val="26"/>
          <w:szCs w:val="26"/>
          <w:lang w:val="es-419" w:eastAsia="es-MX"/>
        </w:rPr>
        <w:t xml:space="preserve"> de votos, lo resolvieron las magistradas y los magistrados quienes integran la Sala Superior del Tribunal Electoral del Poder Judicial de la Federación, ante el Secretario General de Acuerdos, quien autoriza y da fe que la presente resolución se firma de manera electrónica.</w:t>
      </w:r>
    </w:p>
    <w:p w14:paraId="45A81D8C" w14:textId="77777777" w:rsidR="008010D1" w:rsidRPr="00DE4C98" w:rsidRDefault="008010D1" w:rsidP="001F0228">
      <w:pPr>
        <w:rPr>
          <w:sz w:val="26"/>
          <w:szCs w:val="26"/>
          <w:lang w:val="es-419" w:eastAsia="es-MX"/>
        </w:rPr>
      </w:pPr>
    </w:p>
    <w:p w14:paraId="2AA37D47" w14:textId="5BD71804" w:rsidR="00462A73" w:rsidRPr="008010D1" w:rsidRDefault="008010D1" w:rsidP="00E078D4">
      <w:pPr>
        <w:spacing w:line="240" w:lineRule="auto"/>
        <w:rPr>
          <w:color w:val="auto"/>
          <w:lang w:val="es-419"/>
        </w:rPr>
      </w:pPr>
      <w:r w:rsidRPr="0002695B">
        <w:rPr>
          <w:sz w:val="20"/>
          <w:szCs w:val="20"/>
          <w:lang w:val="es-419"/>
        </w:rPr>
        <w:t>Este documento es una representación gráfica autorizada mediante firmas electrónicas certificadas, el cual tiene plena validez jurídica de conformidad con los numerales segundo y cuarto del Acuerdo General de la Sala Superior del Tribunal Electoral del Poder Judicial de la Federación 3/2020, por el que se implementa la firma electrónica certificada del Poder Judicial de la Federación en los acuerdos, resoluciones y sentencias que se dicten con motivo del trámite, turno, sustanciación y resolución de los medios de impugnación en materia electoral.</w:t>
      </w:r>
    </w:p>
    <w:sectPr w:rsidR="00462A73" w:rsidRPr="008010D1" w:rsidSect="00F81A27">
      <w:headerReference w:type="even" r:id="rId11"/>
      <w:headerReference w:type="default" r:id="rId12"/>
      <w:footerReference w:type="even" r:id="rId13"/>
      <w:footerReference w:type="default" r:id="rId14"/>
      <w:headerReference w:type="first" r:id="rId15"/>
      <w:footerReference w:type="first" r:id="rId16"/>
      <w:pgSz w:w="12242" w:h="19301" w:code="119"/>
      <w:pgMar w:top="1985" w:right="1418" w:bottom="1418" w:left="2268" w:header="1985"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8A8B" w14:textId="77777777" w:rsidR="001641A5" w:rsidRDefault="001641A5" w:rsidP="00462A73">
      <w:pPr>
        <w:spacing w:line="240" w:lineRule="auto"/>
      </w:pPr>
      <w:r>
        <w:separator/>
      </w:r>
    </w:p>
  </w:endnote>
  <w:endnote w:type="continuationSeparator" w:id="0">
    <w:p w14:paraId="0BDB4836" w14:textId="77777777" w:rsidR="001641A5" w:rsidRDefault="001641A5" w:rsidP="00462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0"/>
        <w:szCs w:val="20"/>
      </w:rPr>
      <w:id w:val="905491981"/>
      <w:docPartObj>
        <w:docPartGallery w:val="Page Numbers (Bottom of Page)"/>
        <w:docPartUnique/>
      </w:docPartObj>
    </w:sdtPr>
    <w:sdtEndPr/>
    <w:sdtContent>
      <w:p w14:paraId="3D4CFB24" w14:textId="77777777" w:rsidR="009A7EAB" w:rsidRPr="0028191C" w:rsidRDefault="009A7EAB" w:rsidP="00FD5CB9">
        <w:pPr>
          <w:pStyle w:val="Encabezado"/>
          <w:tabs>
            <w:tab w:val="clear" w:pos="4419"/>
            <w:tab w:val="clear" w:pos="8838"/>
          </w:tabs>
          <w:jc w:val="center"/>
          <w:rPr>
            <w:b/>
            <w:bCs/>
            <w:sz w:val="20"/>
            <w:szCs w:val="20"/>
          </w:rPr>
        </w:pPr>
        <w:r w:rsidRPr="0028191C">
          <w:rPr>
            <w:b/>
            <w:bCs/>
            <w:sz w:val="20"/>
            <w:szCs w:val="20"/>
          </w:rPr>
          <w:fldChar w:fldCharType="begin"/>
        </w:r>
        <w:r w:rsidRPr="0028191C">
          <w:rPr>
            <w:b/>
            <w:bCs/>
            <w:sz w:val="20"/>
            <w:szCs w:val="20"/>
          </w:rPr>
          <w:instrText>PAGE   \* MERGEFORMAT</w:instrText>
        </w:r>
        <w:r w:rsidRPr="0028191C">
          <w:rPr>
            <w:b/>
            <w:bCs/>
            <w:sz w:val="20"/>
            <w:szCs w:val="20"/>
          </w:rPr>
          <w:fldChar w:fldCharType="separate"/>
        </w:r>
        <w:r w:rsidRPr="0028191C">
          <w:rPr>
            <w:b/>
            <w:bCs/>
            <w:sz w:val="20"/>
            <w:szCs w:val="20"/>
          </w:rPr>
          <w:t>4</w:t>
        </w:r>
        <w:r w:rsidRPr="0028191C">
          <w:rPr>
            <w:b/>
            <w:bCs/>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0"/>
        <w:szCs w:val="20"/>
      </w:rPr>
      <w:id w:val="373122615"/>
      <w:docPartObj>
        <w:docPartGallery w:val="Page Numbers (Bottom of Page)"/>
        <w:docPartUnique/>
      </w:docPartObj>
    </w:sdtPr>
    <w:sdtEndPr/>
    <w:sdtContent>
      <w:p w14:paraId="615766F5" w14:textId="77777777" w:rsidR="009A7EAB" w:rsidRPr="0028191C" w:rsidRDefault="009A7EAB" w:rsidP="00FD5CB9">
        <w:pPr>
          <w:pStyle w:val="Encabezado"/>
          <w:tabs>
            <w:tab w:val="clear" w:pos="4419"/>
            <w:tab w:val="clear" w:pos="8838"/>
          </w:tabs>
          <w:jc w:val="center"/>
          <w:rPr>
            <w:b/>
            <w:bCs/>
            <w:sz w:val="20"/>
            <w:szCs w:val="20"/>
          </w:rPr>
        </w:pPr>
        <w:r w:rsidRPr="0028191C">
          <w:rPr>
            <w:b/>
            <w:bCs/>
            <w:sz w:val="20"/>
            <w:szCs w:val="20"/>
          </w:rPr>
          <w:fldChar w:fldCharType="begin"/>
        </w:r>
        <w:r w:rsidRPr="0028191C">
          <w:rPr>
            <w:b/>
            <w:bCs/>
            <w:sz w:val="20"/>
            <w:szCs w:val="20"/>
          </w:rPr>
          <w:instrText>PAGE   \* MERGEFORMAT</w:instrText>
        </w:r>
        <w:r w:rsidRPr="0028191C">
          <w:rPr>
            <w:b/>
            <w:bCs/>
            <w:sz w:val="20"/>
            <w:szCs w:val="20"/>
          </w:rPr>
          <w:fldChar w:fldCharType="separate"/>
        </w:r>
        <w:r w:rsidRPr="0028191C">
          <w:rPr>
            <w:b/>
            <w:bCs/>
            <w:sz w:val="20"/>
            <w:szCs w:val="20"/>
          </w:rPr>
          <w:t>2</w:t>
        </w:r>
        <w:r w:rsidRPr="0028191C">
          <w:rPr>
            <w:b/>
            <w:bCs/>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021B" w14:textId="77777777" w:rsidR="009A7EAB" w:rsidRPr="0028191C" w:rsidRDefault="009A7EAB" w:rsidP="0028191C">
    <w:pPr>
      <w:pStyle w:val="Encabezado"/>
      <w:tabs>
        <w:tab w:val="clear" w:pos="4419"/>
        <w:tab w:val="clear" w:pos="8838"/>
      </w:tabs>
      <w:jc w:val="left"/>
      <w:rPr>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68AB7" w14:textId="77777777" w:rsidR="001641A5" w:rsidRDefault="001641A5" w:rsidP="00462A73">
      <w:pPr>
        <w:spacing w:line="240" w:lineRule="auto"/>
      </w:pPr>
      <w:r>
        <w:separator/>
      </w:r>
    </w:p>
  </w:footnote>
  <w:footnote w:type="continuationSeparator" w:id="0">
    <w:p w14:paraId="0D6AE77D" w14:textId="77777777" w:rsidR="001641A5" w:rsidRDefault="001641A5" w:rsidP="00462A73">
      <w:pPr>
        <w:spacing w:line="240" w:lineRule="auto"/>
      </w:pPr>
      <w:r>
        <w:continuationSeparator/>
      </w:r>
    </w:p>
  </w:footnote>
  <w:footnote w:id="1">
    <w:p w14:paraId="588C0B4D" w14:textId="0D983CA0" w:rsidR="00FA57C9" w:rsidRPr="00414B64" w:rsidRDefault="00646A55">
      <w:pPr>
        <w:pStyle w:val="Textonotapie"/>
        <w:rPr>
          <w:sz w:val="18"/>
          <w:szCs w:val="18"/>
        </w:rPr>
      </w:pPr>
      <w:r>
        <w:rPr>
          <w:rStyle w:val="Refdenotaalpie"/>
        </w:rPr>
        <w:footnoteRef/>
      </w:r>
      <w:r>
        <w:t xml:space="preserve"> </w:t>
      </w:r>
      <w:r w:rsidR="00FA57C9" w:rsidRPr="00414B64">
        <w:rPr>
          <w:sz w:val="18"/>
          <w:szCs w:val="18"/>
        </w:rPr>
        <w:t xml:space="preserve">En cumplimiento al punto Cuarto del Acuerdo de turno dictado por la Magistrada Presidenta de la Sala Superior, el </w:t>
      </w:r>
      <w:r w:rsidR="0016721F" w:rsidRPr="00414B64">
        <w:rPr>
          <w:sz w:val="18"/>
          <w:szCs w:val="18"/>
        </w:rPr>
        <w:t>once</w:t>
      </w:r>
      <w:r w:rsidR="00FA57C9" w:rsidRPr="00414B64">
        <w:rPr>
          <w:sz w:val="18"/>
          <w:szCs w:val="18"/>
        </w:rPr>
        <w:t xml:space="preserve"> de </w:t>
      </w:r>
      <w:r w:rsidR="004458B8" w:rsidRPr="00414B64">
        <w:rPr>
          <w:sz w:val="18"/>
          <w:szCs w:val="18"/>
        </w:rPr>
        <w:t xml:space="preserve">julio </w:t>
      </w:r>
      <w:r w:rsidR="00FA57C9" w:rsidRPr="00414B64">
        <w:rPr>
          <w:sz w:val="18"/>
          <w:szCs w:val="18"/>
        </w:rPr>
        <w:t>de dos mil veintic</w:t>
      </w:r>
      <w:r w:rsidR="004458B8" w:rsidRPr="00414B64">
        <w:rPr>
          <w:sz w:val="18"/>
          <w:szCs w:val="18"/>
        </w:rPr>
        <w:t>inco</w:t>
      </w:r>
      <w:r w:rsidR="00FA57C9" w:rsidRPr="00414B64">
        <w:rPr>
          <w:sz w:val="18"/>
          <w:szCs w:val="18"/>
        </w:rPr>
        <w:t>, se suprime de forma preventiva en la versión pública del presente proveído, los datos personales y de identificación de la parte actora.</w:t>
      </w:r>
    </w:p>
  </w:footnote>
  <w:footnote w:id="2">
    <w:p w14:paraId="0DE0C4F3" w14:textId="516B3CBE" w:rsidR="00DE4D36" w:rsidRPr="00273A38" w:rsidRDefault="00DE4D36">
      <w:pPr>
        <w:pStyle w:val="Textonotapie"/>
        <w:rPr>
          <w:sz w:val="18"/>
          <w:szCs w:val="18"/>
        </w:rPr>
      </w:pPr>
      <w:r>
        <w:rPr>
          <w:rStyle w:val="Refdenotaalpie"/>
        </w:rPr>
        <w:footnoteRef/>
      </w:r>
      <w:r w:rsidRPr="00273A38">
        <w:t xml:space="preserve"> </w:t>
      </w:r>
      <w:r w:rsidRPr="00273A38">
        <w:rPr>
          <w:sz w:val="18"/>
          <w:szCs w:val="18"/>
        </w:rPr>
        <w:t>En adelante Sala Regional</w:t>
      </w:r>
      <w:r w:rsidR="0061131A" w:rsidRPr="00273A38">
        <w:rPr>
          <w:sz w:val="18"/>
          <w:szCs w:val="18"/>
        </w:rPr>
        <w:t xml:space="preserve"> </w:t>
      </w:r>
      <w:r w:rsidR="003A2935" w:rsidRPr="00273A38">
        <w:rPr>
          <w:sz w:val="18"/>
          <w:szCs w:val="18"/>
        </w:rPr>
        <w:t>Monterrey</w:t>
      </w:r>
      <w:r w:rsidRPr="00273A38">
        <w:rPr>
          <w:sz w:val="18"/>
          <w:szCs w:val="18"/>
        </w:rPr>
        <w:t>.</w:t>
      </w:r>
    </w:p>
  </w:footnote>
  <w:footnote w:id="3">
    <w:p w14:paraId="5D6C22D8" w14:textId="2A6F02F7" w:rsidR="00462A73" w:rsidRPr="006360DD" w:rsidRDefault="00462A73" w:rsidP="00462A73">
      <w:pPr>
        <w:pStyle w:val="Textonotapie"/>
        <w:rPr>
          <w:sz w:val="18"/>
          <w:szCs w:val="18"/>
        </w:rPr>
      </w:pPr>
      <w:r w:rsidRPr="006360DD">
        <w:rPr>
          <w:rStyle w:val="Refdenotaalpie"/>
          <w:sz w:val="18"/>
          <w:szCs w:val="18"/>
        </w:rPr>
        <w:footnoteRef/>
      </w:r>
      <w:r w:rsidR="00083CBB" w:rsidRPr="00083CBB">
        <w:rPr>
          <w:sz w:val="6"/>
          <w:szCs w:val="6"/>
        </w:rPr>
        <w:t xml:space="preserve"> </w:t>
      </w:r>
      <w:r w:rsidRPr="006360DD">
        <w:rPr>
          <w:sz w:val="18"/>
          <w:szCs w:val="18"/>
        </w:rPr>
        <w:t>Secretari</w:t>
      </w:r>
      <w:r w:rsidR="00674020">
        <w:rPr>
          <w:sz w:val="18"/>
          <w:szCs w:val="18"/>
        </w:rPr>
        <w:t>o</w:t>
      </w:r>
      <w:r w:rsidRPr="006360DD">
        <w:rPr>
          <w:sz w:val="18"/>
          <w:szCs w:val="18"/>
        </w:rPr>
        <w:t xml:space="preserve">: </w:t>
      </w:r>
      <w:r w:rsidR="00674020">
        <w:rPr>
          <w:sz w:val="18"/>
          <w:szCs w:val="18"/>
        </w:rPr>
        <w:t xml:space="preserve">Carmelo Maldonado </w:t>
      </w:r>
      <w:r w:rsidR="007F21BC">
        <w:rPr>
          <w:sz w:val="18"/>
          <w:szCs w:val="18"/>
        </w:rPr>
        <w:t>Hernández</w:t>
      </w:r>
      <w:r w:rsidR="00DA3C23" w:rsidRPr="006360DD">
        <w:rPr>
          <w:sz w:val="18"/>
          <w:szCs w:val="18"/>
        </w:rPr>
        <w:t>.</w:t>
      </w:r>
      <w:r w:rsidR="00674020">
        <w:rPr>
          <w:sz w:val="18"/>
          <w:szCs w:val="18"/>
        </w:rPr>
        <w:t xml:space="preserve"> </w:t>
      </w:r>
      <w:r w:rsidR="007F21BC">
        <w:rPr>
          <w:sz w:val="18"/>
          <w:szCs w:val="18"/>
        </w:rPr>
        <w:t>Colabor</w:t>
      </w:r>
      <w:r w:rsidR="003A2935">
        <w:rPr>
          <w:sz w:val="18"/>
          <w:szCs w:val="18"/>
        </w:rPr>
        <w:t>ó</w:t>
      </w:r>
      <w:r w:rsidR="00674020">
        <w:rPr>
          <w:sz w:val="18"/>
          <w:szCs w:val="18"/>
        </w:rPr>
        <w:t xml:space="preserve">: </w:t>
      </w:r>
      <w:r w:rsidR="00A41C8F">
        <w:rPr>
          <w:sz w:val="18"/>
          <w:szCs w:val="18"/>
        </w:rPr>
        <w:t>Nathaniel Ruiz David</w:t>
      </w:r>
      <w:r w:rsidR="007F21BC">
        <w:rPr>
          <w:sz w:val="18"/>
          <w:szCs w:val="18"/>
        </w:rPr>
        <w:t>.</w:t>
      </w:r>
    </w:p>
  </w:footnote>
  <w:footnote w:id="4">
    <w:p w14:paraId="48D5C130" w14:textId="588173C1" w:rsidR="00E5254D" w:rsidRDefault="00E5254D">
      <w:pPr>
        <w:pStyle w:val="Textonotapie"/>
      </w:pPr>
      <w:r>
        <w:rPr>
          <w:rStyle w:val="Refdenotaalpie"/>
        </w:rPr>
        <w:footnoteRef/>
      </w:r>
      <w:r>
        <w:t xml:space="preserve"> </w:t>
      </w:r>
      <w:r w:rsidR="0032656F" w:rsidRPr="00C13A1A">
        <w:rPr>
          <w:sz w:val="18"/>
          <w:szCs w:val="18"/>
        </w:rPr>
        <w:t>En</w:t>
      </w:r>
      <w:r w:rsidR="00C13A1A" w:rsidRPr="00C13A1A">
        <w:rPr>
          <w:sz w:val="18"/>
          <w:szCs w:val="18"/>
        </w:rPr>
        <w:t xml:space="preserve"> lo sucesivo</w:t>
      </w:r>
      <w:r w:rsidR="0032656F" w:rsidRPr="00C13A1A">
        <w:rPr>
          <w:sz w:val="18"/>
          <w:szCs w:val="18"/>
        </w:rPr>
        <w:t xml:space="preserve">, </w:t>
      </w:r>
      <w:r w:rsidR="00220CEE">
        <w:rPr>
          <w:sz w:val="18"/>
          <w:szCs w:val="18"/>
        </w:rPr>
        <w:t xml:space="preserve">todas </w:t>
      </w:r>
      <w:r w:rsidR="0032656F" w:rsidRPr="00C13A1A">
        <w:rPr>
          <w:sz w:val="18"/>
          <w:szCs w:val="18"/>
        </w:rPr>
        <w:t>las fechas se referirán a este 2025, salvo mención expresa</w:t>
      </w:r>
      <w:r w:rsidR="00C13A1A">
        <w:rPr>
          <w:sz w:val="18"/>
          <w:szCs w:val="18"/>
        </w:rPr>
        <w:t>.</w:t>
      </w:r>
    </w:p>
  </w:footnote>
  <w:footnote w:id="5">
    <w:p w14:paraId="35B0E60A" w14:textId="0C36FC18" w:rsidR="0009502A" w:rsidRDefault="0009502A">
      <w:pPr>
        <w:pStyle w:val="Textonotapie"/>
      </w:pPr>
      <w:r>
        <w:rPr>
          <w:rStyle w:val="Refdenotaalpie"/>
        </w:rPr>
        <w:footnoteRef/>
      </w:r>
      <w:r>
        <w:t xml:space="preserve"> </w:t>
      </w:r>
      <w:r w:rsidR="00460C19" w:rsidRPr="00460C19">
        <w:rPr>
          <w:sz w:val="18"/>
          <w:szCs w:val="18"/>
        </w:rPr>
        <w:t>A partir de aquí:</w:t>
      </w:r>
      <w:r>
        <w:t xml:space="preserve"> Instituto Local</w:t>
      </w:r>
      <w:r w:rsidR="00B461FB">
        <w:t>.</w:t>
      </w:r>
    </w:p>
  </w:footnote>
  <w:footnote w:id="6">
    <w:p w14:paraId="1539EBA9" w14:textId="0C88C476" w:rsidR="00D73087" w:rsidRPr="00A728AB" w:rsidRDefault="00D73087" w:rsidP="00D73087">
      <w:pPr>
        <w:pStyle w:val="Textonotapie"/>
        <w:rPr>
          <w:color w:val="auto"/>
          <w:sz w:val="18"/>
          <w:szCs w:val="18"/>
        </w:rPr>
      </w:pPr>
      <w:r>
        <w:rPr>
          <w:rStyle w:val="Refdenotaalpie"/>
        </w:rPr>
        <w:footnoteRef/>
      </w:r>
      <w:r>
        <w:t xml:space="preserve"> </w:t>
      </w:r>
      <w:r w:rsidRPr="00AF2111">
        <w:rPr>
          <w:sz w:val="18"/>
          <w:szCs w:val="18"/>
        </w:rPr>
        <w:t xml:space="preserve">El Consejo General informó al Instituto Local para que, dentro de sus competencias, adoptara las decisiones legales pertinentes respecto a la posible formación de brigadas de trabajadores destinadas a promover el voto en favor de la entonces </w:t>
      </w:r>
      <w:r w:rsidRPr="00A728AB">
        <w:rPr>
          <w:sz w:val="18"/>
          <w:szCs w:val="18"/>
        </w:rPr>
        <w:t xml:space="preserve">candidata </w:t>
      </w:r>
      <w:r w:rsidR="00386FEC" w:rsidRPr="002C43BF">
        <w:rPr>
          <w:color w:val="auto"/>
          <w:sz w:val="18"/>
          <w:szCs w:val="18"/>
        </w:rPr>
        <w:t>Lorena del Carmen Alfaro García</w:t>
      </w:r>
      <w:r w:rsidR="00386FEC" w:rsidRPr="00A728AB">
        <w:rPr>
          <w:color w:val="auto"/>
          <w:sz w:val="18"/>
          <w:szCs w:val="18"/>
        </w:rPr>
        <w:t xml:space="preserve"> </w:t>
      </w:r>
      <w:r w:rsidRPr="00A728AB">
        <w:rPr>
          <w:color w:val="auto"/>
          <w:sz w:val="18"/>
          <w:szCs w:val="18"/>
        </w:rPr>
        <w:t xml:space="preserve">en el municipio de </w:t>
      </w:r>
      <w:r w:rsidR="00386FEC" w:rsidRPr="002C43BF">
        <w:rPr>
          <w:color w:val="auto"/>
          <w:sz w:val="18"/>
          <w:szCs w:val="18"/>
        </w:rPr>
        <w:t>Irapuato</w:t>
      </w:r>
    </w:p>
  </w:footnote>
  <w:footnote w:id="7">
    <w:p w14:paraId="09B282DE" w14:textId="15B1CF71" w:rsidR="00DE486E" w:rsidRPr="003A5B15" w:rsidRDefault="00DE486E">
      <w:pPr>
        <w:pStyle w:val="Textonotapie"/>
        <w:rPr>
          <w:sz w:val="18"/>
          <w:szCs w:val="18"/>
        </w:rPr>
      </w:pPr>
      <w:r w:rsidRPr="00A728AB">
        <w:rPr>
          <w:rStyle w:val="Refdenotaalpie"/>
        </w:rPr>
        <w:footnoteRef/>
      </w:r>
      <w:r w:rsidRPr="00A728AB">
        <w:t xml:space="preserve"> </w:t>
      </w:r>
      <w:r w:rsidRPr="00A728AB">
        <w:rPr>
          <w:sz w:val="18"/>
          <w:szCs w:val="18"/>
        </w:rPr>
        <w:t xml:space="preserve">En </w:t>
      </w:r>
      <w:r w:rsidR="00C13A1A" w:rsidRPr="00A728AB">
        <w:rPr>
          <w:sz w:val="18"/>
          <w:szCs w:val="18"/>
        </w:rPr>
        <w:t>lo que sigue,</w:t>
      </w:r>
      <w:r w:rsidRPr="00A728AB">
        <w:rPr>
          <w:sz w:val="18"/>
          <w:szCs w:val="18"/>
        </w:rPr>
        <w:t xml:space="preserve"> </w:t>
      </w:r>
      <w:r w:rsidR="00A228DE" w:rsidRPr="00A728AB">
        <w:rPr>
          <w:sz w:val="18"/>
          <w:szCs w:val="18"/>
        </w:rPr>
        <w:t>Tribunal Local o TEEG</w:t>
      </w:r>
      <w:r w:rsidR="00EC5CBC" w:rsidRPr="00A728AB">
        <w:rPr>
          <w:sz w:val="18"/>
          <w:szCs w:val="18"/>
        </w:rPr>
        <w:t>.</w:t>
      </w:r>
    </w:p>
  </w:footnote>
  <w:footnote w:id="8">
    <w:p w14:paraId="3516FA75" w14:textId="682E3030" w:rsidR="00366C1E" w:rsidRPr="00E85A87" w:rsidRDefault="00366C1E" w:rsidP="00366C1E">
      <w:pPr>
        <w:pStyle w:val="Textonotapie"/>
        <w:rPr>
          <w:sz w:val="18"/>
          <w:szCs w:val="18"/>
        </w:rPr>
      </w:pPr>
      <w:r w:rsidRPr="00164B51">
        <w:rPr>
          <w:rStyle w:val="Refdenotaalpie"/>
          <w:sz w:val="18"/>
          <w:szCs w:val="18"/>
        </w:rPr>
        <w:footnoteRef/>
      </w:r>
      <w:r w:rsidRPr="00164B51">
        <w:rPr>
          <w:sz w:val="18"/>
          <w:szCs w:val="18"/>
        </w:rPr>
        <w:t xml:space="preserve"> </w:t>
      </w:r>
      <w:r w:rsidR="001310E5" w:rsidRPr="00164B51">
        <w:rPr>
          <w:sz w:val="18"/>
          <w:szCs w:val="18"/>
        </w:rPr>
        <w:t>En lo subsecu</w:t>
      </w:r>
      <w:r w:rsidR="006D47A9">
        <w:rPr>
          <w:sz w:val="18"/>
          <w:szCs w:val="18"/>
        </w:rPr>
        <w:t>e</w:t>
      </w:r>
      <w:r w:rsidR="001310E5" w:rsidRPr="00164B51">
        <w:rPr>
          <w:sz w:val="18"/>
          <w:szCs w:val="18"/>
        </w:rPr>
        <w:t>nte</w:t>
      </w:r>
      <w:r w:rsidR="00164B51">
        <w:rPr>
          <w:i/>
          <w:iCs/>
          <w:sz w:val="18"/>
          <w:szCs w:val="18"/>
        </w:rPr>
        <w:t>,</w:t>
      </w:r>
      <w:r w:rsidRPr="00E85A87">
        <w:rPr>
          <w:sz w:val="18"/>
          <w:szCs w:val="18"/>
        </w:rPr>
        <w:t xml:space="preserve"> Ley de Medios o LGSMIME.</w:t>
      </w:r>
    </w:p>
  </w:footnote>
  <w:footnote w:id="9">
    <w:p w14:paraId="735782E5" w14:textId="17DBB812" w:rsidR="00F40C49" w:rsidRPr="00E85A87" w:rsidRDefault="00F40C49" w:rsidP="00F40C49">
      <w:pPr>
        <w:pStyle w:val="Textonotapie"/>
        <w:rPr>
          <w:sz w:val="18"/>
          <w:szCs w:val="18"/>
        </w:rPr>
      </w:pPr>
      <w:r>
        <w:rPr>
          <w:rStyle w:val="Refdenotaalpie"/>
        </w:rPr>
        <w:footnoteRef/>
      </w:r>
      <w:r>
        <w:t xml:space="preserve"> </w:t>
      </w:r>
      <w:r w:rsidRPr="00E85A87">
        <w:rPr>
          <w:sz w:val="18"/>
          <w:szCs w:val="18"/>
        </w:rPr>
        <w:t xml:space="preserve">Lo anterior, de conformidad con lo dispuesto en los artículos 41, párrafo tercero, Base VI, </w:t>
      </w:r>
      <w:r w:rsidR="00E36241">
        <w:rPr>
          <w:sz w:val="18"/>
          <w:szCs w:val="18"/>
        </w:rPr>
        <w:t xml:space="preserve">60, párrafo tercero </w:t>
      </w:r>
      <w:r w:rsidRPr="00E85A87">
        <w:rPr>
          <w:sz w:val="18"/>
          <w:szCs w:val="18"/>
        </w:rPr>
        <w:t xml:space="preserve">y 99, párrafo cuarto, fracción X de la Constitución </w:t>
      </w:r>
      <w:r>
        <w:rPr>
          <w:sz w:val="18"/>
          <w:szCs w:val="18"/>
        </w:rPr>
        <w:t>general</w:t>
      </w:r>
      <w:r w:rsidRPr="00E85A87">
        <w:rPr>
          <w:sz w:val="18"/>
          <w:szCs w:val="18"/>
        </w:rPr>
        <w:t>;</w:t>
      </w:r>
      <w:r>
        <w:rPr>
          <w:sz w:val="18"/>
          <w:szCs w:val="18"/>
        </w:rPr>
        <w:t xml:space="preserve"> </w:t>
      </w:r>
      <w:r w:rsidRPr="00A30EF5">
        <w:rPr>
          <w:sz w:val="18"/>
          <w:szCs w:val="18"/>
        </w:rPr>
        <w:t xml:space="preserve">169, fracción I, inciso b), de la Ley Orgánica del Poder Judicial de la Federación; así como </w:t>
      </w:r>
      <w:r w:rsidR="00A35296">
        <w:rPr>
          <w:sz w:val="18"/>
          <w:szCs w:val="18"/>
        </w:rPr>
        <w:t>3, párrafo 2, inciso b)</w:t>
      </w:r>
      <w:r w:rsidR="00FD4AF8">
        <w:rPr>
          <w:sz w:val="18"/>
          <w:szCs w:val="18"/>
        </w:rPr>
        <w:t xml:space="preserve">, </w:t>
      </w:r>
      <w:r w:rsidRPr="00A30EF5">
        <w:rPr>
          <w:sz w:val="18"/>
          <w:szCs w:val="18"/>
        </w:rPr>
        <w:t>4</w:t>
      </w:r>
      <w:r w:rsidR="00FD4AF8">
        <w:rPr>
          <w:sz w:val="18"/>
          <w:szCs w:val="18"/>
        </w:rPr>
        <w:t>, párrafo 1, 25, 34, párrafo 2, inciso b)</w:t>
      </w:r>
      <w:r w:rsidR="00092640">
        <w:rPr>
          <w:sz w:val="18"/>
          <w:szCs w:val="18"/>
        </w:rPr>
        <w:t>, 61</w:t>
      </w:r>
      <w:r w:rsidRPr="00A30EF5">
        <w:rPr>
          <w:sz w:val="18"/>
          <w:szCs w:val="18"/>
        </w:rPr>
        <w:t xml:space="preserve"> y 64, de la Ley de Medios.</w:t>
      </w:r>
    </w:p>
  </w:footnote>
  <w:footnote w:id="10">
    <w:p w14:paraId="0F7A1BBF" w14:textId="77777777" w:rsidR="007E66D3" w:rsidRPr="00FF3425" w:rsidRDefault="007E66D3" w:rsidP="00FF3425">
      <w:pPr>
        <w:pStyle w:val="Textonotapie"/>
        <w:rPr>
          <w:sz w:val="18"/>
          <w:szCs w:val="18"/>
        </w:rPr>
      </w:pPr>
      <w:r>
        <w:rPr>
          <w:rStyle w:val="Refdenotaalpie"/>
        </w:rPr>
        <w:footnoteRef/>
      </w:r>
      <w:r>
        <w:t xml:space="preserve"> </w:t>
      </w:r>
      <w:r w:rsidRPr="00FF3425">
        <w:rPr>
          <w:b/>
          <w:bCs/>
          <w:sz w:val="18"/>
          <w:szCs w:val="18"/>
        </w:rPr>
        <w:t xml:space="preserve">“Artículo 10 </w:t>
      </w:r>
      <w:r w:rsidRPr="00FF3425">
        <w:rPr>
          <w:sz w:val="18"/>
          <w:szCs w:val="18"/>
        </w:rPr>
        <w:t xml:space="preserve">[-] </w:t>
      </w:r>
      <w:r w:rsidRPr="00FF3425">
        <w:rPr>
          <w:b/>
          <w:bCs/>
          <w:sz w:val="18"/>
          <w:szCs w:val="18"/>
        </w:rPr>
        <w:t>1.</w:t>
      </w:r>
      <w:r w:rsidRPr="00FF3425">
        <w:rPr>
          <w:sz w:val="18"/>
          <w:szCs w:val="18"/>
        </w:rPr>
        <w:t xml:space="preserve"> Los medios de impugnación previstos en esta ley serán improcedentes en los siguientes casos: […] </w:t>
      </w:r>
      <w:r w:rsidRPr="00FF3425">
        <w:rPr>
          <w:b/>
          <w:bCs/>
          <w:sz w:val="18"/>
          <w:szCs w:val="18"/>
        </w:rPr>
        <w:t>b)</w:t>
      </w:r>
      <w:r w:rsidRPr="00FF3425">
        <w:rPr>
          <w:sz w:val="18"/>
          <w:szCs w:val="18"/>
        </w:rPr>
        <w:t xml:space="preserve"> Cuando se pretenda impugnar actos o resoluciones: que no afecten el interés jurídico del actor; que se hayan consumado de un modo irreparable; que se hubiesen consentido expresamente, entendiéndose por éstos, las manifestaciones de voluntad que entrañen ese consentimiento; o aquellos contra los cuales no se hubiese interpuesto el medio de impugnación respectivo, dentro de los plazos señalados en esta ley;”</w:t>
      </w:r>
    </w:p>
  </w:footnote>
  <w:footnote w:id="11">
    <w:p w14:paraId="5A873019" w14:textId="77777777" w:rsidR="007E66D3" w:rsidRDefault="007E66D3" w:rsidP="007E66D3">
      <w:pPr>
        <w:pStyle w:val="Textonotapie"/>
        <w:spacing w:before="120"/>
      </w:pPr>
      <w:r>
        <w:rPr>
          <w:rStyle w:val="Refdenotaalpie"/>
        </w:rPr>
        <w:footnoteRef/>
      </w:r>
      <w:r>
        <w:t xml:space="preserve"> </w:t>
      </w:r>
      <w:r>
        <w:rPr>
          <w:bCs/>
          <w:szCs w:val="27"/>
        </w:rPr>
        <w:t>“</w:t>
      </w:r>
      <w:r w:rsidRPr="009C6330">
        <w:rPr>
          <w:b/>
          <w:szCs w:val="27"/>
        </w:rPr>
        <w:t>Artículo 66</w:t>
      </w:r>
      <w:r>
        <w:rPr>
          <w:bCs/>
          <w:szCs w:val="27"/>
        </w:rPr>
        <w:t xml:space="preserve"> [-] </w:t>
      </w:r>
      <w:r w:rsidRPr="009C6330">
        <w:rPr>
          <w:b/>
          <w:szCs w:val="27"/>
        </w:rPr>
        <w:t xml:space="preserve">1. </w:t>
      </w:r>
      <w:r w:rsidRPr="003E44DE">
        <w:rPr>
          <w:bCs/>
          <w:szCs w:val="27"/>
        </w:rPr>
        <w:t xml:space="preserve">El recurso de reconsideración deberá interponerse: </w:t>
      </w:r>
      <w:r>
        <w:rPr>
          <w:bCs/>
          <w:szCs w:val="27"/>
        </w:rPr>
        <w:t xml:space="preserve">[-] </w:t>
      </w:r>
      <w:r w:rsidRPr="009C6330">
        <w:rPr>
          <w:b/>
          <w:szCs w:val="27"/>
        </w:rPr>
        <w:t>a)</w:t>
      </w:r>
      <w:r w:rsidRPr="003E44DE">
        <w:rPr>
          <w:bCs/>
          <w:szCs w:val="27"/>
        </w:rPr>
        <w:t xml:space="preserve"> Dentro de los tres días contados a partir del día siguiente al en que se haya notificado la sentencia de fondo impugnada de la Sala Regional; y</w:t>
      </w:r>
      <w:r>
        <w:rPr>
          <w:bCs/>
          <w:szCs w:val="27"/>
        </w:rPr>
        <w:t xml:space="preserve"> […]”</w:t>
      </w:r>
    </w:p>
  </w:footnote>
  <w:footnote w:id="12">
    <w:p w14:paraId="49EBB6F2" w14:textId="77777777" w:rsidR="005E6530" w:rsidRDefault="005E6530" w:rsidP="005E6530">
      <w:pPr>
        <w:pStyle w:val="Textonotapie"/>
      </w:pPr>
      <w:r>
        <w:rPr>
          <w:rStyle w:val="Refdenotaalpie"/>
        </w:rPr>
        <w:footnoteRef/>
      </w:r>
      <w:r>
        <w:t xml:space="preserve"> </w:t>
      </w:r>
      <w:r w:rsidRPr="007D4D0E">
        <w:t xml:space="preserve">Cédula y razón de notificación electrónica a correo no institucional, que se tiene a la vista en los folios </w:t>
      </w:r>
      <w:r>
        <w:t>79</w:t>
      </w:r>
      <w:r w:rsidRPr="007D4D0E">
        <w:t xml:space="preserve"> y </w:t>
      </w:r>
      <w:r>
        <w:t>80</w:t>
      </w:r>
      <w:r w:rsidRPr="007D4D0E">
        <w:t xml:space="preserve"> del expediente </w:t>
      </w:r>
      <w:r>
        <w:t>SM_2025_JG_53-1628152.pdf</w:t>
      </w:r>
      <w:r w:rsidRPr="007D4D0E">
        <w:t>, el cual forma parte de las actuaciones que integran el expediente SUP-REC-</w:t>
      </w:r>
      <w:r>
        <w:t>246</w:t>
      </w:r>
      <w:r w:rsidRPr="007D4D0E">
        <w:t>/202</w:t>
      </w:r>
      <w:r>
        <w:t>5</w:t>
      </w:r>
      <w:r w:rsidRPr="007D4D0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7BFD" w14:textId="47990AEE" w:rsidR="001013AF" w:rsidRDefault="009A7EAB" w:rsidP="002C5DA2">
    <w:pPr>
      <w:pStyle w:val="Encabezado"/>
      <w:tabs>
        <w:tab w:val="clear" w:pos="4419"/>
        <w:tab w:val="clear" w:pos="8838"/>
      </w:tabs>
      <w:rPr>
        <w:b/>
        <w:bCs/>
        <w:sz w:val="24"/>
        <w:szCs w:val="24"/>
      </w:rPr>
    </w:pPr>
    <w:r w:rsidRPr="001013AF">
      <w:rPr>
        <w:b/>
        <w:bCs/>
        <w:sz w:val="24"/>
        <w:szCs w:val="24"/>
      </w:rPr>
      <w:t>SUP-</w:t>
    </w:r>
    <w:r w:rsidR="008010D1">
      <w:rPr>
        <w:b/>
        <w:bCs/>
        <w:sz w:val="24"/>
        <w:szCs w:val="24"/>
      </w:rPr>
      <w:t>REC</w:t>
    </w:r>
    <w:r w:rsidRPr="001013AF">
      <w:rPr>
        <w:b/>
        <w:bCs/>
        <w:sz w:val="24"/>
        <w:szCs w:val="24"/>
      </w:rPr>
      <w:t>-</w:t>
    </w:r>
    <w:r w:rsidR="00064FA2">
      <w:rPr>
        <w:b/>
        <w:bCs/>
        <w:sz w:val="24"/>
        <w:szCs w:val="24"/>
      </w:rPr>
      <w:t>2</w:t>
    </w:r>
    <w:r w:rsidR="00646A55">
      <w:rPr>
        <w:b/>
        <w:bCs/>
        <w:sz w:val="24"/>
        <w:szCs w:val="24"/>
      </w:rPr>
      <w:t>46</w:t>
    </w:r>
    <w:r w:rsidRPr="001013AF">
      <w:rPr>
        <w:b/>
        <w:bCs/>
        <w:sz w:val="24"/>
        <w:szCs w:val="24"/>
      </w:rPr>
      <w:t>/2025</w:t>
    </w:r>
  </w:p>
  <w:p w14:paraId="11C5B4C9" w14:textId="38168629" w:rsidR="009A7EAB" w:rsidRDefault="009A7EAB" w:rsidP="002C5DA2">
    <w:pPr>
      <w:pStyle w:val="Encabezado"/>
      <w:tabs>
        <w:tab w:val="clear" w:pos="4419"/>
        <w:tab w:val="clear" w:pos="8838"/>
      </w:tabs>
      <w:rPr>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B295" w14:textId="4CE0FC3F" w:rsidR="001013AF" w:rsidRPr="001013AF" w:rsidRDefault="009A7EAB" w:rsidP="00AC58D9">
    <w:pPr>
      <w:pStyle w:val="Encabezado"/>
      <w:tabs>
        <w:tab w:val="clear" w:pos="4419"/>
        <w:tab w:val="clear" w:pos="8838"/>
      </w:tabs>
      <w:jc w:val="right"/>
      <w:rPr>
        <w:b/>
        <w:bCs/>
        <w:sz w:val="24"/>
        <w:szCs w:val="24"/>
      </w:rPr>
    </w:pPr>
    <w:r w:rsidRPr="001013AF">
      <w:rPr>
        <w:noProof/>
        <w:sz w:val="24"/>
        <w:szCs w:val="24"/>
      </w:rPr>
      <w:drawing>
        <wp:anchor distT="0" distB="0" distL="114300" distR="114300" simplePos="0" relativeHeight="251659264" behindDoc="0" locked="0" layoutInCell="1" allowOverlap="1" wp14:anchorId="4A669F95" wp14:editId="1E9F3C2B">
          <wp:simplePos x="0" y="0"/>
          <wp:positionH relativeFrom="column">
            <wp:posOffset>-883285</wp:posOffset>
          </wp:positionH>
          <wp:positionV relativeFrom="page">
            <wp:posOffset>199903</wp:posOffset>
          </wp:positionV>
          <wp:extent cx="1378800" cy="1191600"/>
          <wp:effectExtent l="0" t="0" r="0" b="889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13AF">
      <w:rPr>
        <w:b/>
        <w:bCs/>
        <w:sz w:val="24"/>
        <w:szCs w:val="24"/>
      </w:rPr>
      <w:t>SUP-</w:t>
    </w:r>
    <w:r w:rsidR="008010D1">
      <w:rPr>
        <w:b/>
        <w:bCs/>
        <w:sz w:val="24"/>
        <w:szCs w:val="24"/>
      </w:rPr>
      <w:t>REC-</w:t>
    </w:r>
    <w:r w:rsidR="00094A1E">
      <w:rPr>
        <w:b/>
        <w:bCs/>
        <w:sz w:val="24"/>
        <w:szCs w:val="24"/>
      </w:rPr>
      <w:t>2</w:t>
    </w:r>
    <w:r w:rsidR="00646A55">
      <w:rPr>
        <w:b/>
        <w:bCs/>
        <w:sz w:val="24"/>
        <w:szCs w:val="24"/>
      </w:rPr>
      <w:t>46</w:t>
    </w:r>
    <w:r w:rsidRPr="001013AF">
      <w:rPr>
        <w:b/>
        <w:bCs/>
        <w:sz w:val="24"/>
        <w:szCs w:val="24"/>
      </w:rPr>
      <w:t>/2025</w:t>
    </w:r>
  </w:p>
  <w:p w14:paraId="0996E7B8" w14:textId="1EB5F640" w:rsidR="009A7EAB" w:rsidRPr="001013AF" w:rsidRDefault="001013AF" w:rsidP="00AC58D9">
    <w:pPr>
      <w:pStyle w:val="Encabezado"/>
      <w:tabs>
        <w:tab w:val="clear" w:pos="4419"/>
        <w:tab w:val="clear" w:pos="8838"/>
      </w:tabs>
      <w:jc w:val="right"/>
      <w:rPr>
        <w:b/>
        <w:bCs/>
        <w:sz w:val="24"/>
        <w:szCs w:val="24"/>
      </w:rPr>
    </w:pPr>
    <w:r w:rsidRPr="001013AF">
      <w:rPr>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117C" w14:textId="77777777" w:rsidR="009A7EAB" w:rsidRDefault="009A7EAB" w:rsidP="0028191C">
    <w:pPr>
      <w:pStyle w:val="Encabezado"/>
      <w:tabs>
        <w:tab w:val="clear" w:pos="4419"/>
        <w:tab w:val="clear" w:pos="8838"/>
      </w:tabs>
      <w:jc w:val="left"/>
      <w:rPr>
        <w:b/>
        <w:bCs/>
        <w:sz w:val="20"/>
        <w:szCs w:val="20"/>
      </w:rPr>
    </w:pPr>
    <w:r w:rsidRPr="0028191C">
      <w:rPr>
        <w:b/>
        <w:bCs/>
        <w:noProof/>
        <w:sz w:val="20"/>
        <w:szCs w:val="20"/>
      </w:rPr>
      <w:drawing>
        <wp:anchor distT="0" distB="0" distL="114300" distR="114300" simplePos="0" relativeHeight="251656192" behindDoc="0" locked="0" layoutInCell="1" allowOverlap="1" wp14:anchorId="00915544" wp14:editId="07A83CCA">
          <wp:simplePos x="0" y="0"/>
          <wp:positionH relativeFrom="column">
            <wp:posOffset>-850112</wp:posOffset>
          </wp:positionH>
          <wp:positionV relativeFrom="page">
            <wp:posOffset>309475</wp:posOffset>
          </wp:positionV>
          <wp:extent cx="1378800" cy="1191600"/>
          <wp:effectExtent l="0" t="0" r="0" b="889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2A0AE" w14:textId="77777777" w:rsidR="009A7EAB" w:rsidRPr="0028191C" w:rsidRDefault="009A7EAB" w:rsidP="0028191C">
    <w:pPr>
      <w:pStyle w:val="Encabezado"/>
      <w:tabs>
        <w:tab w:val="clear" w:pos="4419"/>
        <w:tab w:val="clear" w:pos="8838"/>
      </w:tabs>
      <w:jc w:val="lef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0F2"/>
    <w:multiLevelType w:val="hybridMultilevel"/>
    <w:tmpl w:val="076889E8"/>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22F749A"/>
    <w:multiLevelType w:val="hybridMultilevel"/>
    <w:tmpl w:val="136A1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7E2AF4"/>
    <w:multiLevelType w:val="hybridMultilevel"/>
    <w:tmpl w:val="3AFAF61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03697"/>
    <w:multiLevelType w:val="hybridMultilevel"/>
    <w:tmpl w:val="9DD0E1E8"/>
    <w:lvl w:ilvl="0" w:tplc="D6F630F6">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753B4B"/>
    <w:multiLevelType w:val="hybridMultilevel"/>
    <w:tmpl w:val="F9EEA1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6B422FD"/>
    <w:multiLevelType w:val="multilevel"/>
    <w:tmpl w:val="E80EF512"/>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8702BA6"/>
    <w:multiLevelType w:val="hybridMultilevel"/>
    <w:tmpl w:val="7C66B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2E104F"/>
    <w:multiLevelType w:val="hybridMultilevel"/>
    <w:tmpl w:val="9C32D6B0"/>
    <w:lvl w:ilvl="0" w:tplc="D424DFEE">
      <w:start w:val="1"/>
      <w:numFmt w:val="lowerLetter"/>
      <w:lvlText w:val="%1)"/>
      <w:lvlJc w:val="left"/>
      <w:pPr>
        <w:ind w:left="720" w:hanging="360"/>
      </w:pPr>
      <w:rPr>
        <w:rFonts w:ascii="Arial" w:hAnsi="Arial" w:cs="Arial" w:hint="default"/>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75EBD"/>
    <w:multiLevelType w:val="hybridMultilevel"/>
    <w:tmpl w:val="9EA81CF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0E083E"/>
    <w:multiLevelType w:val="hybridMultilevel"/>
    <w:tmpl w:val="E0281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785A05"/>
    <w:multiLevelType w:val="hybridMultilevel"/>
    <w:tmpl w:val="BBB20C62"/>
    <w:lvl w:ilvl="0" w:tplc="34A882CE">
      <w:start w:val="8"/>
      <w:numFmt w:val="decimal"/>
      <w:lvlText w:val="%1."/>
      <w:lvlJc w:val="left"/>
      <w:pPr>
        <w:ind w:left="720" w:hanging="360"/>
      </w:pPr>
      <w:rPr>
        <w:rFonts w:eastAsia="Times New Roman" w:cs="Arial"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2D112DB2"/>
    <w:multiLevelType w:val="hybridMultilevel"/>
    <w:tmpl w:val="275A2DB6"/>
    <w:lvl w:ilvl="0" w:tplc="2D9E8C86">
      <w:start w:val="1"/>
      <w:numFmt w:val="decimal"/>
      <w:lvlText w:val="(%1)"/>
      <w:lvlJc w:val="left"/>
      <w:pPr>
        <w:ind w:left="720" w:hanging="360"/>
      </w:pPr>
      <w:rPr>
        <w:rFonts w:hint="default"/>
        <w:b w:val="0"/>
        <w:bCs/>
        <w:i w:val="0"/>
        <w:caps w:val="0"/>
        <w:strike w:val="0"/>
        <w:dstrike w:val="0"/>
        <w:vanish w:val="0"/>
        <w:color w:val="auto"/>
        <w:sz w:val="18"/>
        <w:szCs w:val="18"/>
        <w:u w:val="none"/>
        <w:vertAlign w:val="baseline"/>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145AA5"/>
    <w:multiLevelType w:val="hybridMultilevel"/>
    <w:tmpl w:val="0A8C0754"/>
    <w:lvl w:ilvl="0" w:tplc="7D0E1BD8">
      <w:start w:val="1"/>
      <w:numFmt w:val="decimal"/>
      <w:lvlText w:val="%1"/>
      <w:lvlJc w:val="left"/>
      <w:pPr>
        <w:ind w:left="360" w:hanging="360"/>
      </w:pPr>
      <w:rPr>
        <w:rFonts w:hint="default"/>
        <w:b w:val="0"/>
        <w:sz w:val="16"/>
        <w:szCs w:val="16"/>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AC29F5"/>
    <w:multiLevelType w:val="hybridMultilevel"/>
    <w:tmpl w:val="F54C049C"/>
    <w:lvl w:ilvl="0" w:tplc="5BE832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3206D3"/>
    <w:multiLevelType w:val="hybridMultilevel"/>
    <w:tmpl w:val="87D2E488"/>
    <w:lvl w:ilvl="0" w:tplc="6448742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77619A"/>
    <w:multiLevelType w:val="hybridMultilevel"/>
    <w:tmpl w:val="058642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B02C76"/>
    <w:multiLevelType w:val="hybridMultilevel"/>
    <w:tmpl w:val="201C3064"/>
    <w:lvl w:ilvl="0" w:tplc="FB7A3D2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A2309E"/>
    <w:multiLevelType w:val="hybridMultilevel"/>
    <w:tmpl w:val="D08AE67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CB32A4C"/>
    <w:multiLevelType w:val="hybridMultilevel"/>
    <w:tmpl w:val="5A54A958"/>
    <w:lvl w:ilvl="0" w:tplc="4EE06AD8">
      <w:start w:val="1"/>
      <w:numFmt w:val="bullet"/>
      <w:lvlText w:val=""/>
      <w:lvlJc w:val="left"/>
      <w:pPr>
        <w:ind w:left="720" w:hanging="360"/>
      </w:pPr>
      <w:rPr>
        <w:rFonts w:ascii="Symbol" w:eastAsia="Aptos"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6927B3"/>
    <w:multiLevelType w:val="hybridMultilevel"/>
    <w:tmpl w:val="8A52E9C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842185D"/>
    <w:multiLevelType w:val="hybridMultilevel"/>
    <w:tmpl w:val="6F8AA53C"/>
    <w:lvl w:ilvl="0" w:tplc="8848AA78">
      <w:start w:val="1"/>
      <w:numFmt w:val="bullet"/>
      <w:lvlText w:val="o"/>
      <w:lvlJc w:val="left"/>
      <w:pPr>
        <w:ind w:left="720" w:hanging="360"/>
      </w:pPr>
      <w:rPr>
        <w:rFonts w:ascii="Courier New" w:hAnsi="Courier New" w:cs="Courier New"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91121B7"/>
    <w:multiLevelType w:val="hybridMultilevel"/>
    <w:tmpl w:val="1284C0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165153"/>
    <w:multiLevelType w:val="multilevel"/>
    <w:tmpl w:val="C81C5EB0"/>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b/>
        <w:i w:val="0"/>
        <w:sz w:val="24"/>
        <w:szCs w:val="24"/>
      </w:rPr>
    </w:lvl>
    <w:lvl w:ilvl="2">
      <w:start w:val="1"/>
      <w:numFmt w:val="decimal"/>
      <w:isLgl/>
      <w:lvlText w:val="%1.%2.%3."/>
      <w:lvlJc w:val="left"/>
      <w:pPr>
        <w:ind w:left="4973" w:hanging="720"/>
      </w:pPr>
      <w:rPr>
        <w:rFonts w:hint="default"/>
        <w:b/>
        <w:i w:val="0"/>
      </w:rPr>
    </w:lvl>
    <w:lvl w:ilvl="3">
      <w:start w:val="1"/>
      <w:numFmt w:val="lowerLetter"/>
      <w:isLgl/>
      <w:lvlText w:val="%4)"/>
      <w:lvlJc w:val="left"/>
      <w:pPr>
        <w:ind w:left="1080" w:hanging="1080"/>
      </w:pPr>
      <w:rPr>
        <w:rFonts w:ascii="Arial" w:eastAsiaTheme="minorHAnsi" w:hAnsi="Arial" w:cstheme="minorBidi"/>
        <w:b/>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5D5A1C12"/>
    <w:multiLevelType w:val="hybridMultilevel"/>
    <w:tmpl w:val="7AF2258A"/>
    <w:lvl w:ilvl="0" w:tplc="8D7C4110">
      <w:start w:val="5"/>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1AE2710"/>
    <w:multiLevelType w:val="hybridMultilevel"/>
    <w:tmpl w:val="B6EAA51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47756F"/>
    <w:multiLevelType w:val="hybridMultilevel"/>
    <w:tmpl w:val="E43C522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66BE5B1F"/>
    <w:multiLevelType w:val="hybridMultilevel"/>
    <w:tmpl w:val="753E50DC"/>
    <w:lvl w:ilvl="0" w:tplc="6498AD6C">
      <w:start w:val="1"/>
      <w:numFmt w:val="lowerLetter"/>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6BF033CC"/>
    <w:multiLevelType w:val="multilevel"/>
    <w:tmpl w:val="BD8633FC"/>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BF5753C"/>
    <w:multiLevelType w:val="hybridMultilevel"/>
    <w:tmpl w:val="C602DF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102CF9"/>
    <w:multiLevelType w:val="hybridMultilevel"/>
    <w:tmpl w:val="128E2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3D4083"/>
    <w:multiLevelType w:val="hybridMultilevel"/>
    <w:tmpl w:val="67F81278"/>
    <w:lvl w:ilvl="0" w:tplc="C4C09B8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BA1676"/>
    <w:multiLevelType w:val="hybridMultilevel"/>
    <w:tmpl w:val="67581DA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BA2ABB"/>
    <w:multiLevelType w:val="hybridMultilevel"/>
    <w:tmpl w:val="1F94D46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78663182"/>
    <w:multiLevelType w:val="hybridMultilevel"/>
    <w:tmpl w:val="F5B49FE8"/>
    <w:lvl w:ilvl="0" w:tplc="2B2CA4A2">
      <w:start w:val="1"/>
      <w:numFmt w:val="upperRoman"/>
      <w:lvlText w:val="%1."/>
      <w:lvlJc w:val="right"/>
      <w:pPr>
        <w:ind w:left="720" w:hanging="360"/>
      </w:pPr>
      <w:rPr>
        <w:b/>
        <w:bCs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4" w15:restartNumberingAfterBreak="0">
    <w:nsid w:val="79A161B9"/>
    <w:multiLevelType w:val="hybridMultilevel"/>
    <w:tmpl w:val="D40083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F7744D"/>
    <w:multiLevelType w:val="hybridMultilevel"/>
    <w:tmpl w:val="F9E8D856"/>
    <w:lvl w:ilvl="0" w:tplc="DD744C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14242831">
    <w:abstractNumId w:val="21"/>
  </w:num>
  <w:num w:numId="2" w16cid:durableId="1741633347">
    <w:abstractNumId w:val="34"/>
  </w:num>
  <w:num w:numId="3" w16cid:durableId="1172526470">
    <w:abstractNumId w:val="7"/>
  </w:num>
  <w:num w:numId="4" w16cid:durableId="289748768">
    <w:abstractNumId w:val="12"/>
  </w:num>
  <w:num w:numId="5" w16cid:durableId="752631381">
    <w:abstractNumId w:val="9"/>
  </w:num>
  <w:num w:numId="6" w16cid:durableId="213473573">
    <w:abstractNumId w:val="6"/>
  </w:num>
  <w:num w:numId="7" w16cid:durableId="712769826">
    <w:abstractNumId w:val="29"/>
  </w:num>
  <w:num w:numId="8" w16cid:durableId="665285933">
    <w:abstractNumId w:val="23"/>
  </w:num>
  <w:num w:numId="9" w16cid:durableId="311104026">
    <w:abstractNumId w:val="2"/>
  </w:num>
  <w:num w:numId="10" w16cid:durableId="1949265878">
    <w:abstractNumId w:val="24"/>
  </w:num>
  <w:num w:numId="11" w16cid:durableId="2103987950">
    <w:abstractNumId w:val="8"/>
  </w:num>
  <w:num w:numId="12" w16cid:durableId="2082215988">
    <w:abstractNumId w:val="19"/>
  </w:num>
  <w:num w:numId="13" w16cid:durableId="1156262113">
    <w:abstractNumId w:val="15"/>
  </w:num>
  <w:num w:numId="14" w16cid:durableId="546067533">
    <w:abstractNumId w:val="20"/>
  </w:num>
  <w:num w:numId="15" w16cid:durableId="1399203764">
    <w:abstractNumId w:val="3"/>
  </w:num>
  <w:num w:numId="16" w16cid:durableId="1825275164">
    <w:abstractNumId w:val="28"/>
  </w:num>
  <w:num w:numId="17" w16cid:durableId="135953445">
    <w:abstractNumId w:val="35"/>
  </w:num>
  <w:num w:numId="18" w16cid:durableId="1047728035">
    <w:abstractNumId w:val="31"/>
  </w:num>
  <w:num w:numId="19" w16cid:durableId="593367665">
    <w:abstractNumId w:val="13"/>
  </w:num>
  <w:num w:numId="20" w16cid:durableId="589895739">
    <w:abstractNumId w:val="5"/>
  </w:num>
  <w:num w:numId="21" w16cid:durableId="1699306751">
    <w:abstractNumId w:val="27"/>
  </w:num>
  <w:num w:numId="22" w16cid:durableId="705058007">
    <w:abstractNumId w:val="11"/>
  </w:num>
  <w:num w:numId="23" w16cid:durableId="1382753286">
    <w:abstractNumId w:val="18"/>
  </w:num>
  <w:num w:numId="24" w16cid:durableId="8163850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6605757">
    <w:abstractNumId w:val="33"/>
  </w:num>
  <w:num w:numId="26" w16cid:durableId="1670793853">
    <w:abstractNumId w:val="26"/>
  </w:num>
  <w:num w:numId="27" w16cid:durableId="1697191306">
    <w:abstractNumId w:val="1"/>
  </w:num>
  <w:num w:numId="28" w16cid:durableId="813763174">
    <w:abstractNumId w:val="10"/>
  </w:num>
  <w:num w:numId="29" w16cid:durableId="853034915">
    <w:abstractNumId w:val="0"/>
  </w:num>
  <w:num w:numId="30" w16cid:durableId="704059216">
    <w:abstractNumId w:val="4"/>
  </w:num>
  <w:num w:numId="31" w16cid:durableId="811285926">
    <w:abstractNumId w:val="16"/>
  </w:num>
  <w:num w:numId="32" w16cid:durableId="1612397320">
    <w:abstractNumId w:val="30"/>
  </w:num>
  <w:num w:numId="33" w16cid:durableId="1474562810">
    <w:abstractNumId w:val="17"/>
  </w:num>
  <w:num w:numId="34" w16cid:durableId="915170343">
    <w:abstractNumId w:val="32"/>
  </w:num>
  <w:num w:numId="35" w16cid:durableId="982273570">
    <w:abstractNumId w:val="14"/>
  </w:num>
  <w:num w:numId="36" w16cid:durableId="12659904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A73"/>
    <w:rsid w:val="000031A9"/>
    <w:rsid w:val="00003688"/>
    <w:rsid w:val="00003BE9"/>
    <w:rsid w:val="00004D37"/>
    <w:rsid w:val="00006818"/>
    <w:rsid w:val="00006D08"/>
    <w:rsid w:val="0001538C"/>
    <w:rsid w:val="00015A76"/>
    <w:rsid w:val="00020B99"/>
    <w:rsid w:val="000221B6"/>
    <w:rsid w:val="00027DBC"/>
    <w:rsid w:val="000416B2"/>
    <w:rsid w:val="00041FD3"/>
    <w:rsid w:val="00043F77"/>
    <w:rsid w:val="000444E7"/>
    <w:rsid w:val="0004469E"/>
    <w:rsid w:val="0004698C"/>
    <w:rsid w:val="0005106D"/>
    <w:rsid w:val="00051183"/>
    <w:rsid w:val="000517E8"/>
    <w:rsid w:val="00051C58"/>
    <w:rsid w:val="000521ED"/>
    <w:rsid w:val="00061BD0"/>
    <w:rsid w:val="0006262A"/>
    <w:rsid w:val="00062C62"/>
    <w:rsid w:val="00063F61"/>
    <w:rsid w:val="00064FA2"/>
    <w:rsid w:val="000660AD"/>
    <w:rsid w:val="000671D7"/>
    <w:rsid w:val="000728DE"/>
    <w:rsid w:val="00073B3D"/>
    <w:rsid w:val="00074D89"/>
    <w:rsid w:val="000757AA"/>
    <w:rsid w:val="0007617A"/>
    <w:rsid w:val="00076E3A"/>
    <w:rsid w:val="000778A3"/>
    <w:rsid w:val="000819F8"/>
    <w:rsid w:val="00081BEC"/>
    <w:rsid w:val="00081ED5"/>
    <w:rsid w:val="00082B7C"/>
    <w:rsid w:val="000835CC"/>
    <w:rsid w:val="0008374E"/>
    <w:rsid w:val="00083CBB"/>
    <w:rsid w:val="000845F2"/>
    <w:rsid w:val="000852DC"/>
    <w:rsid w:val="00085C4F"/>
    <w:rsid w:val="00085EA2"/>
    <w:rsid w:val="000870E4"/>
    <w:rsid w:val="000904B1"/>
    <w:rsid w:val="00090C9E"/>
    <w:rsid w:val="00090EB9"/>
    <w:rsid w:val="00091E94"/>
    <w:rsid w:val="00092640"/>
    <w:rsid w:val="00094A1E"/>
    <w:rsid w:val="0009502A"/>
    <w:rsid w:val="000954C2"/>
    <w:rsid w:val="00095AC6"/>
    <w:rsid w:val="00096AC7"/>
    <w:rsid w:val="000A072F"/>
    <w:rsid w:val="000A1CA6"/>
    <w:rsid w:val="000A20DA"/>
    <w:rsid w:val="000A422E"/>
    <w:rsid w:val="000A7628"/>
    <w:rsid w:val="000B79D1"/>
    <w:rsid w:val="000C0CE7"/>
    <w:rsid w:val="000C18F7"/>
    <w:rsid w:val="000C56D1"/>
    <w:rsid w:val="000C73DF"/>
    <w:rsid w:val="000C7A8C"/>
    <w:rsid w:val="000C7B3C"/>
    <w:rsid w:val="000C7E53"/>
    <w:rsid w:val="000D0131"/>
    <w:rsid w:val="000D24EF"/>
    <w:rsid w:val="000D4551"/>
    <w:rsid w:val="000D48A1"/>
    <w:rsid w:val="000D55B2"/>
    <w:rsid w:val="000D7484"/>
    <w:rsid w:val="000E22FB"/>
    <w:rsid w:val="000E2951"/>
    <w:rsid w:val="000E2C70"/>
    <w:rsid w:val="000E366D"/>
    <w:rsid w:val="000E4A2D"/>
    <w:rsid w:val="000E6C99"/>
    <w:rsid w:val="000F0AF0"/>
    <w:rsid w:val="000F1362"/>
    <w:rsid w:val="000F4291"/>
    <w:rsid w:val="000F51A5"/>
    <w:rsid w:val="001013AF"/>
    <w:rsid w:val="00102C6A"/>
    <w:rsid w:val="00102EC6"/>
    <w:rsid w:val="00106186"/>
    <w:rsid w:val="00106406"/>
    <w:rsid w:val="001065B4"/>
    <w:rsid w:val="00114383"/>
    <w:rsid w:val="001173E3"/>
    <w:rsid w:val="0012231B"/>
    <w:rsid w:val="00125A6C"/>
    <w:rsid w:val="001310E5"/>
    <w:rsid w:val="00131C50"/>
    <w:rsid w:val="00131EDC"/>
    <w:rsid w:val="001322F9"/>
    <w:rsid w:val="00132471"/>
    <w:rsid w:val="00132894"/>
    <w:rsid w:val="00133C7A"/>
    <w:rsid w:val="00135A65"/>
    <w:rsid w:val="0013775C"/>
    <w:rsid w:val="00140285"/>
    <w:rsid w:val="00141C5B"/>
    <w:rsid w:val="0014493F"/>
    <w:rsid w:val="00147453"/>
    <w:rsid w:val="00150CB4"/>
    <w:rsid w:val="001520EC"/>
    <w:rsid w:val="001552CE"/>
    <w:rsid w:val="00160FF9"/>
    <w:rsid w:val="001641A5"/>
    <w:rsid w:val="00164B51"/>
    <w:rsid w:val="00165686"/>
    <w:rsid w:val="0016721F"/>
    <w:rsid w:val="00170197"/>
    <w:rsid w:val="00172DBA"/>
    <w:rsid w:val="00174802"/>
    <w:rsid w:val="00175B87"/>
    <w:rsid w:val="0017629D"/>
    <w:rsid w:val="00180C75"/>
    <w:rsid w:val="001850B5"/>
    <w:rsid w:val="00185DBD"/>
    <w:rsid w:val="00186304"/>
    <w:rsid w:val="00186BC4"/>
    <w:rsid w:val="001874F3"/>
    <w:rsid w:val="001910EA"/>
    <w:rsid w:val="00191BB1"/>
    <w:rsid w:val="001923A1"/>
    <w:rsid w:val="00193530"/>
    <w:rsid w:val="0019361D"/>
    <w:rsid w:val="001A0DE2"/>
    <w:rsid w:val="001A2A15"/>
    <w:rsid w:val="001A34CB"/>
    <w:rsid w:val="001A68A7"/>
    <w:rsid w:val="001B093A"/>
    <w:rsid w:val="001B0C54"/>
    <w:rsid w:val="001B149E"/>
    <w:rsid w:val="001B18E5"/>
    <w:rsid w:val="001B50CD"/>
    <w:rsid w:val="001C0148"/>
    <w:rsid w:val="001C1FF3"/>
    <w:rsid w:val="001C2CD3"/>
    <w:rsid w:val="001C315E"/>
    <w:rsid w:val="001C65E5"/>
    <w:rsid w:val="001D129B"/>
    <w:rsid w:val="001D1D02"/>
    <w:rsid w:val="001D3441"/>
    <w:rsid w:val="001D34DC"/>
    <w:rsid w:val="001D35CA"/>
    <w:rsid w:val="001D546F"/>
    <w:rsid w:val="001D782C"/>
    <w:rsid w:val="001E1001"/>
    <w:rsid w:val="001E22B2"/>
    <w:rsid w:val="001E290F"/>
    <w:rsid w:val="001E4AA3"/>
    <w:rsid w:val="001E6C03"/>
    <w:rsid w:val="001F0228"/>
    <w:rsid w:val="001F07FC"/>
    <w:rsid w:val="001F3F98"/>
    <w:rsid w:val="001F436D"/>
    <w:rsid w:val="001F610A"/>
    <w:rsid w:val="001F7AC0"/>
    <w:rsid w:val="001F7B47"/>
    <w:rsid w:val="001F7D4A"/>
    <w:rsid w:val="00201F50"/>
    <w:rsid w:val="00201FC5"/>
    <w:rsid w:val="00203E5B"/>
    <w:rsid w:val="0020535C"/>
    <w:rsid w:val="0020614B"/>
    <w:rsid w:val="00206853"/>
    <w:rsid w:val="002074A2"/>
    <w:rsid w:val="00207A4E"/>
    <w:rsid w:val="002120DA"/>
    <w:rsid w:val="00212B9D"/>
    <w:rsid w:val="00213D09"/>
    <w:rsid w:val="00214634"/>
    <w:rsid w:val="002154F0"/>
    <w:rsid w:val="0021798C"/>
    <w:rsid w:val="00220CEE"/>
    <w:rsid w:val="00221857"/>
    <w:rsid w:val="00222481"/>
    <w:rsid w:val="0022450F"/>
    <w:rsid w:val="00226013"/>
    <w:rsid w:val="002277D8"/>
    <w:rsid w:val="00231544"/>
    <w:rsid w:val="00232C1B"/>
    <w:rsid w:val="002345F0"/>
    <w:rsid w:val="0023514B"/>
    <w:rsid w:val="0023746F"/>
    <w:rsid w:val="00237672"/>
    <w:rsid w:val="00237A3E"/>
    <w:rsid w:val="00241B09"/>
    <w:rsid w:val="002439D6"/>
    <w:rsid w:val="00245127"/>
    <w:rsid w:val="0024537E"/>
    <w:rsid w:val="00245478"/>
    <w:rsid w:val="00245DB9"/>
    <w:rsid w:val="00252C2D"/>
    <w:rsid w:val="00253B40"/>
    <w:rsid w:val="00256305"/>
    <w:rsid w:val="00256BDC"/>
    <w:rsid w:val="002608D7"/>
    <w:rsid w:val="002614BD"/>
    <w:rsid w:val="00262476"/>
    <w:rsid w:val="00263C72"/>
    <w:rsid w:val="00263CD3"/>
    <w:rsid w:val="002652A1"/>
    <w:rsid w:val="002663AE"/>
    <w:rsid w:val="00266612"/>
    <w:rsid w:val="00267E25"/>
    <w:rsid w:val="00270979"/>
    <w:rsid w:val="00273A38"/>
    <w:rsid w:val="00274FCE"/>
    <w:rsid w:val="00275320"/>
    <w:rsid w:val="00275909"/>
    <w:rsid w:val="00276DD1"/>
    <w:rsid w:val="00277ED4"/>
    <w:rsid w:val="00280CE8"/>
    <w:rsid w:val="00280DB6"/>
    <w:rsid w:val="00282B41"/>
    <w:rsid w:val="00282E2C"/>
    <w:rsid w:val="0028347F"/>
    <w:rsid w:val="002858DB"/>
    <w:rsid w:val="00285E5E"/>
    <w:rsid w:val="00287D81"/>
    <w:rsid w:val="002914F1"/>
    <w:rsid w:val="00292251"/>
    <w:rsid w:val="0029257C"/>
    <w:rsid w:val="00296056"/>
    <w:rsid w:val="002A0031"/>
    <w:rsid w:val="002A0B01"/>
    <w:rsid w:val="002A37BA"/>
    <w:rsid w:val="002A59B6"/>
    <w:rsid w:val="002B467E"/>
    <w:rsid w:val="002B698F"/>
    <w:rsid w:val="002B7147"/>
    <w:rsid w:val="002B7E09"/>
    <w:rsid w:val="002C016C"/>
    <w:rsid w:val="002C0E3A"/>
    <w:rsid w:val="002C4386"/>
    <w:rsid w:val="002C53B9"/>
    <w:rsid w:val="002C7FE7"/>
    <w:rsid w:val="002D1D1F"/>
    <w:rsid w:val="002D39B5"/>
    <w:rsid w:val="002D5C42"/>
    <w:rsid w:val="002D6578"/>
    <w:rsid w:val="002D7A12"/>
    <w:rsid w:val="002E02F6"/>
    <w:rsid w:val="002E167B"/>
    <w:rsid w:val="002E181F"/>
    <w:rsid w:val="002E22F9"/>
    <w:rsid w:val="002E2356"/>
    <w:rsid w:val="002F06B4"/>
    <w:rsid w:val="002F1391"/>
    <w:rsid w:val="002F3B83"/>
    <w:rsid w:val="002F468F"/>
    <w:rsid w:val="002F5F05"/>
    <w:rsid w:val="002F680E"/>
    <w:rsid w:val="002F6A8D"/>
    <w:rsid w:val="002F6A91"/>
    <w:rsid w:val="00300EE5"/>
    <w:rsid w:val="003028B4"/>
    <w:rsid w:val="00302FA9"/>
    <w:rsid w:val="0030454D"/>
    <w:rsid w:val="00307906"/>
    <w:rsid w:val="00307B25"/>
    <w:rsid w:val="0031094C"/>
    <w:rsid w:val="00311CE2"/>
    <w:rsid w:val="00312F90"/>
    <w:rsid w:val="00313D3A"/>
    <w:rsid w:val="00315C63"/>
    <w:rsid w:val="00317CA0"/>
    <w:rsid w:val="00317F3B"/>
    <w:rsid w:val="00320E6E"/>
    <w:rsid w:val="00321496"/>
    <w:rsid w:val="003219E5"/>
    <w:rsid w:val="00322040"/>
    <w:rsid w:val="0032220A"/>
    <w:rsid w:val="003233EE"/>
    <w:rsid w:val="0032656F"/>
    <w:rsid w:val="00326AAD"/>
    <w:rsid w:val="00331A7E"/>
    <w:rsid w:val="00331F15"/>
    <w:rsid w:val="00334EFB"/>
    <w:rsid w:val="00337982"/>
    <w:rsid w:val="00340EED"/>
    <w:rsid w:val="00341BAD"/>
    <w:rsid w:val="00343405"/>
    <w:rsid w:val="00344EA6"/>
    <w:rsid w:val="003461C6"/>
    <w:rsid w:val="0034772C"/>
    <w:rsid w:val="00350799"/>
    <w:rsid w:val="00352B34"/>
    <w:rsid w:val="003531E9"/>
    <w:rsid w:val="003549A6"/>
    <w:rsid w:val="003555D6"/>
    <w:rsid w:val="00355CD1"/>
    <w:rsid w:val="00361AB8"/>
    <w:rsid w:val="00361F63"/>
    <w:rsid w:val="003628E8"/>
    <w:rsid w:val="00363082"/>
    <w:rsid w:val="0036347A"/>
    <w:rsid w:val="00363FB9"/>
    <w:rsid w:val="0036421E"/>
    <w:rsid w:val="003650DE"/>
    <w:rsid w:val="0036694D"/>
    <w:rsid w:val="00366C1E"/>
    <w:rsid w:val="0037494D"/>
    <w:rsid w:val="00375A55"/>
    <w:rsid w:val="003801A9"/>
    <w:rsid w:val="00382B09"/>
    <w:rsid w:val="00383E59"/>
    <w:rsid w:val="00384C5F"/>
    <w:rsid w:val="00386A48"/>
    <w:rsid w:val="00386FEC"/>
    <w:rsid w:val="0038728C"/>
    <w:rsid w:val="003873A1"/>
    <w:rsid w:val="00387AC3"/>
    <w:rsid w:val="00392CB1"/>
    <w:rsid w:val="00397359"/>
    <w:rsid w:val="00397490"/>
    <w:rsid w:val="003A12B9"/>
    <w:rsid w:val="003A261A"/>
    <w:rsid w:val="003A2822"/>
    <w:rsid w:val="003A2935"/>
    <w:rsid w:val="003A5B15"/>
    <w:rsid w:val="003A5BE6"/>
    <w:rsid w:val="003A62D9"/>
    <w:rsid w:val="003A694A"/>
    <w:rsid w:val="003B0873"/>
    <w:rsid w:val="003B311D"/>
    <w:rsid w:val="003B326D"/>
    <w:rsid w:val="003B3B00"/>
    <w:rsid w:val="003B4DB0"/>
    <w:rsid w:val="003B50C1"/>
    <w:rsid w:val="003B6D2A"/>
    <w:rsid w:val="003C036B"/>
    <w:rsid w:val="003C0917"/>
    <w:rsid w:val="003C1F3D"/>
    <w:rsid w:val="003C4F47"/>
    <w:rsid w:val="003C5764"/>
    <w:rsid w:val="003C5A6C"/>
    <w:rsid w:val="003C6977"/>
    <w:rsid w:val="003C6C3A"/>
    <w:rsid w:val="003C76DC"/>
    <w:rsid w:val="003D04D2"/>
    <w:rsid w:val="003D39FE"/>
    <w:rsid w:val="003D6A98"/>
    <w:rsid w:val="003D7C96"/>
    <w:rsid w:val="003E1E62"/>
    <w:rsid w:val="003E2D0D"/>
    <w:rsid w:val="003E58A0"/>
    <w:rsid w:val="003E7839"/>
    <w:rsid w:val="003F052B"/>
    <w:rsid w:val="003F1714"/>
    <w:rsid w:val="003F2DB4"/>
    <w:rsid w:val="003F4464"/>
    <w:rsid w:val="003F5CEB"/>
    <w:rsid w:val="003F706A"/>
    <w:rsid w:val="003F70FC"/>
    <w:rsid w:val="00402DDD"/>
    <w:rsid w:val="00403538"/>
    <w:rsid w:val="00403FF3"/>
    <w:rsid w:val="004041A9"/>
    <w:rsid w:val="004068C0"/>
    <w:rsid w:val="00407A11"/>
    <w:rsid w:val="004112C5"/>
    <w:rsid w:val="00412313"/>
    <w:rsid w:val="00413FB2"/>
    <w:rsid w:val="00414279"/>
    <w:rsid w:val="00414B64"/>
    <w:rsid w:val="004152BD"/>
    <w:rsid w:val="00415F73"/>
    <w:rsid w:val="00420734"/>
    <w:rsid w:val="00422BB6"/>
    <w:rsid w:val="00422E2D"/>
    <w:rsid w:val="0042394B"/>
    <w:rsid w:val="00423BD4"/>
    <w:rsid w:val="00426184"/>
    <w:rsid w:val="00427BCB"/>
    <w:rsid w:val="004307AF"/>
    <w:rsid w:val="00432FF4"/>
    <w:rsid w:val="00435165"/>
    <w:rsid w:val="0044077C"/>
    <w:rsid w:val="00441177"/>
    <w:rsid w:val="00441257"/>
    <w:rsid w:val="00442AB4"/>
    <w:rsid w:val="004458B8"/>
    <w:rsid w:val="00446D81"/>
    <w:rsid w:val="0045231A"/>
    <w:rsid w:val="00452962"/>
    <w:rsid w:val="00452C2E"/>
    <w:rsid w:val="00452DA5"/>
    <w:rsid w:val="00453507"/>
    <w:rsid w:val="0045358F"/>
    <w:rsid w:val="00453F33"/>
    <w:rsid w:val="0045487E"/>
    <w:rsid w:val="0045509E"/>
    <w:rsid w:val="00456890"/>
    <w:rsid w:val="00460C19"/>
    <w:rsid w:val="004611A3"/>
    <w:rsid w:val="004625F5"/>
    <w:rsid w:val="00462A73"/>
    <w:rsid w:val="00462D82"/>
    <w:rsid w:val="0046300D"/>
    <w:rsid w:val="00463D44"/>
    <w:rsid w:val="00463D74"/>
    <w:rsid w:val="0046576E"/>
    <w:rsid w:val="00467823"/>
    <w:rsid w:val="00467BFD"/>
    <w:rsid w:val="004702E5"/>
    <w:rsid w:val="00470641"/>
    <w:rsid w:val="004724CC"/>
    <w:rsid w:val="00474F71"/>
    <w:rsid w:val="0047555F"/>
    <w:rsid w:val="00483017"/>
    <w:rsid w:val="00483949"/>
    <w:rsid w:val="00483CF0"/>
    <w:rsid w:val="00485925"/>
    <w:rsid w:val="0048625B"/>
    <w:rsid w:val="00487433"/>
    <w:rsid w:val="00491411"/>
    <w:rsid w:val="0049522B"/>
    <w:rsid w:val="00495DA4"/>
    <w:rsid w:val="004974FC"/>
    <w:rsid w:val="00497B64"/>
    <w:rsid w:val="004A01D9"/>
    <w:rsid w:val="004A2EAD"/>
    <w:rsid w:val="004A5BC8"/>
    <w:rsid w:val="004A5BCB"/>
    <w:rsid w:val="004A5F58"/>
    <w:rsid w:val="004B167B"/>
    <w:rsid w:val="004B217D"/>
    <w:rsid w:val="004B36DA"/>
    <w:rsid w:val="004B3730"/>
    <w:rsid w:val="004B5655"/>
    <w:rsid w:val="004B580F"/>
    <w:rsid w:val="004B60A1"/>
    <w:rsid w:val="004C2148"/>
    <w:rsid w:val="004C34B7"/>
    <w:rsid w:val="004C5533"/>
    <w:rsid w:val="004D22CE"/>
    <w:rsid w:val="004D563E"/>
    <w:rsid w:val="004D58F1"/>
    <w:rsid w:val="004D5FC5"/>
    <w:rsid w:val="004D6D2F"/>
    <w:rsid w:val="004D7C58"/>
    <w:rsid w:val="004E124F"/>
    <w:rsid w:val="004E1CBE"/>
    <w:rsid w:val="004E2CA5"/>
    <w:rsid w:val="004E480D"/>
    <w:rsid w:val="004E4F09"/>
    <w:rsid w:val="004E57EB"/>
    <w:rsid w:val="004E6F58"/>
    <w:rsid w:val="004E7153"/>
    <w:rsid w:val="004F35F1"/>
    <w:rsid w:val="004F36B1"/>
    <w:rsid w:val="004F42C6"/>
    <w:rsid w:val="00501F47"/>
    <w:rsid w:val="00502729"/>
    <w:rsid w:val="00503F81"/>
    <w:rsid w:val="00504E93"/>
    <w:rsid w:val="005064A4"/>
    <w:rsid w:val="005073CE"/>
    <w:rsid w:val="00512671"/>
    <w:rsid w:val="005147DD"/>
    <w:rsid w:val="0051483F"/>
    <w:rsid w:val="00520F70"/>
    <w:rsid w:val="005221DA"/>
    <w:rsid w:val="00526A8E"/>
    <w:rsid w:val="00526F22"/>
    <w:rsid w:val="00530CCE"/>
    <w:rsid w:val="005311E8"/>
    <w:rsid w:val="00531A41"/>
    <w:rsid w:val="005326B7"/>
    <w:rsid w:val="0053291A"/>
    <w:rsid w:val="00533F46"/>
    <w:rsid w:val="0053589C"/>
    <w:rsid w:val="005362C2"/>
    <w:rsid w:val="005414F5"/>
    <w:rsid w:val="00541FC7"/>
    <w:rsid w:val="00543957"/>
    <w:rsid w:val="0054768A"/>
    <w:rsid w:val="00547E8C"/>
    <w:rsid w:val="00555C60"/>
    <w:rsid w:val="0055605A"/>
    <w:rsid w:val="005568AB"/>
    <w:rsid w:val="00557F35"/>
    <w:rsid w:val="00560ACB"/>
    <w:rsid w:val="00570256"/>
    <w:rsid w:val="00570F5C"/>
    <w:rsid w:val="0057207B"/>
    <w:rsid w:val="00575832"/>
    <w:rsid w:val="00575A7C"/>
    <w:rsid w:val="005826E9"/>
    <w:rsid w:val="00582BB8"/>
    <w:rsid w:val="00585C36"/>
    <w:rsid w:val="00586874"/>
    <w:rsid w:val="00587B04"/>
    <w:rsid w:val="00587F07"/>
    <w:rsid w:val="00590059"/>
    <w:rsid w:val="00590664"/>
    <w:rsid w:val="005906A6"/>
    <w:rsid w:val="00590F1A"/>
    <w:rsid w:val="0059185C"/>
    <w:rsid w:val="00592C1C"/>
    <w:rsid w:val="00596CE4"/>
    <w:rsid w:val="005A207E"/>
    <w:rsid w:val="005A6912"/>
    <w:rsid w:val="005A7BDA"/>
    <w:rsid w:val="005B102D"/>
    <w:rsid w:val="005B1D99"/>
    <w:rsid w:val="005B32BE"/>
    <w:rsid w:val="005B3987"/>
    <w:rsid w:val="005B52F4"/>
    <w:rsid w:val="005B5641"/>
    <w:rsid w:val="005B5C7D"/>
    <w:rsid w:val="005C0621"/>
    <w:rsid w:val="005D4D57"/>
    <w:rsid w:val="005D556A"/>
    <w:rsid w:val="005D6E2D"/>
    <w:rsid w:val="005D71F8"/>
    <w:rsid w:val="005E4CA3"/>
    <w:rsid w:val="005E6530"/>
    <w:rsid w:val="005F1868"/>
    <w:rsid w:val="005F3F9F"/>
    <w:rsid w:val="005F6665"/>
    <w:rsid w:val="00600678"/>
    <w:rsid w:val="00601265"/>
    <w:rsid w:val="00602018"/>
    <w:rsid w:val="0060405F"/>
    <w:rsid w:val="0060485E"/>
    <w:rsid w:val="00604D8D"/>
    <w:rsid w:val="006104C9"/>
    <w:rsid w:val="00610604"/>
    <w:rsid w:val="0061131A"/>
    <w:rsid w:val="00612C54"/>
    <w:rsid w:val="00613BE9"/>
    <w:rsid w:val="00614019"/>
    <w:rsid w:val="006160F3"/>
    <w:rsid w:val="00617503"/>
    <w:rsid w:val="006201C2"/>
    <w:rsid w:val="00620AFF"/>
    <w:rsid w:val="00621784"/>
    <w:rsid w:val="00622590"/>
    <w:rsid w:val="00622762"/>
    <w:rsid w:val="00623BF8"/>
    <w:rsid w:val="006257DA"/>
    <w:rsid w:val="00625DA6"/>
    <w:rsid w:val="00631CCD"/>
    <w:rsid w:val="006336C8"/>
    <w:rsid w:val="00633FBB"/>
    <w:rsid w:val="006360DD"/>
    <w:rsid w:val="006408F0"/>
    <w:rsid w:val="00640E28"/>
    <w:rsid w:val="0064187A"/>
    <w:rsid w:val="006453FC"/>
    <w:rsid w:val="00645539"/>
    <w:rsid w:val="00646A55"/>
    <w:rsid w:val="0064742B"/>
    <w:rsid w:val="00647843"/>
    <w:rsid w:val="006507FB"/>
    <w:rsid w:val="0065244A"/>
    <w:rsid w:val="00652824"/>
    <w:rsid w:val="00652F20"/>
    <w:rsid w:val="00653184"/>
    <w:rsid w:val="00655891"/>
    <w:rsid w:val="00656AF0"/>
    <w:rsid w:val="00656D05"/>
    <w:rsid w:val="006604CC"/>
    <w:rsid w:val="00660A14"/>
    <w:rsid w:val="006629BE"/>
    <w:rsid w:val="006637BB"/>
    <w:rsid w:val="00665E10"/>
    <w:rsid w:val="00666FA3"/>
    <w:rsid w:val="006672FA"/>
    <w:rsid w:val="00671A10"/>
    <w:rsid w:val="00671F1C"/>
    <w:rsid w:val="0067261B"/>
    <w:rsid w:val="00672F2B"/>
    <w:rsid w:val="00674020"/>
    <w:rsid w:val="006742B9"/>
    <w:rsid w:val="0067519A"/>
    <w:rsid w:val="00682B22"/>
    <w:rsid w:val="0068301A"/>
    <w:rsid w:val="0068556F"/>
    <w:rsid w:val="00685693"/>
    <w:rsid w:val="006856F2"/>
    <w:rsid w:val="00687603"/>
    <w:rsid w:val="006878DC"/>
    <w:rsid w:val="00690BA8"/>
    <w:rsid w:val="00691FC3"/>
    <w:rsid w:val="00695F92"/>
    <w:rsid w:val="006A22D4"/>
    <w:rsid w:val="006A27B9"/>
    <w:rsid w:val="006A2F0E"/>
    <w:rsid w:val="006A6C6D"/>
    <w:rsid w:val="006A7593"/>
    <w:rsid w:val="006B1053"/>
    <w:rsid w:val="006B2437"/>
    <w:rsid w:val="006B28FD"/>
    <w:rsid w:val="006B55E5"/>
    <w:rsid w:val="006B5C6A"/>
    <w:rsid w:val="006C1B44"/>
    <w:rsid w:val="006C2412"/>
    <w:rsid w:val="006C25DD"/>
    <w:rsid w:val="006C3305"/>
    <w:rsid w:val="006D47A9"/>
    <w:rsid w:val="006D51FD"/>
    <w:rsid w:val="006D742C"/>
    <w:rsid w:val="006E0303"/>
    <w:rsid w:val="006E5F64"/>
    <w:rsid w:val="006E6D80"/>
    <w:rsid w:val="006F0AF8"/>
    <w:rsid w:val="006F0B84"/>
    <w:rsid w:val="006F3C05"/>
    <w:rsid w:val="006F53B5"/>
    <w:rsid w:val="006F771E"/>
    <w:rsid w:val="006F7B28"/>
    <w:rsid w:val="006F7B7A"/>
    <w:rsid w:val="00701FC3"/>
    <w:rsid w:val="00702324"/>
    <w:rsid w:val="0070327C"/>
    <w:rsid w:val="007040EA"/>
    <w:rsid w:val="00704BCC"/>
    <w:rsid w:val="00704FB0"/>
    <w:rsid w:val="00705A32"/>
    <w:rsid w:val="00706839"/>
    <w:rsid w:val="00720D9F"/>
    <w:rsid w:val="00721135"/>
    <w:rsid w:val="00721457"/>
    <w:rsid w:val="00721AA6"/>
    <w:rsid w:val="007228A0"/>
    <w:rsid w:val="00723640"/>
    <w:rsid w:val="00724467"/>
    <w:rsid w:val="007245BA"/>
    <w:rsid w:val="00732C92"/>
    <w:rsid w:val="00732E57"/>
    <w:rsid w:val="007376D9"/>
    <w:rsid w:val="00737AC6"/>
    <w:rsid w:val="00740B42"/>
    <w:rsid w:val="007410C5"/>
    <w:rsid w:val="00754891"/>
    <w:rsid w:val="0075617E"/>
    <w:rsid w:val="00756E0E"/>
    <w:rsid w:val="00757018"/>
    <w:rsid w:val="007617BA"/>
    <w:rsid w:val="00762DF7"/>
    <w:rsid w:val="00763F64"/>
    <w:rsid w:val="007645DF"/>
    <w:rsid w:val="00764B98"/>
    <w:rsid w:val="00764D38"/>
    <w:rsid w:val="007651C3"/>
    <w:rsid w:val="0077186C"/>
    <w:rsid w:val="0077436D"/>
    <w:rsid w:val="00774B2F"/>
    <w:rsid w:val="00776008"/>
    <w:rsid w:val="00776A49"/>
    <w:rsid w:val="00776F92"/>
    <w:rsid w:val="00780B8E"/>
    <w:rsid w:val="007822DD"/>
    <w:rsid w:val="00783015"/>
    <w:rsid w:val="00785546"/>
    <w:rsid w:val="00786FF2"/>
    <w:rsid w:val="00787CDF"/>
    <w:rsid w:val="007915A0"/>
    <w:rsid w:val="00795324"/>
    <w:rsid w:val="007A2FC3"/>
    <w:rsid w:val="007B2344"/>
    <w:rsid w:val="007B434E"/>
    <w:rsid w:val="007B4556"/>
    <w:rsid w:val="007B56C7"/>
    <w:rsid w:val="007B591C"/>
    <w:rsid w:val="007B64F8"/>
    <w:rsid w:val="007B65CA"/>
    <w:rsid w:val="007B7CB5"/>
    <w:rsid w:val="007C11FC"/>
    <w:rsid w:val="007C37CD"/>
    <w:rsid w:val="007C4BD5"/>
    <w:rsid w:val="007C6909"/>
    <w:rsid w:val="007C6AB0"/>
    <w:rsid w:val="007C6F71"/>
    <w:rsid w:val="007C7DCF"/>
    <w:rsid w:val="007D1CC7"/>
    <w:rsid w:val="007D4D0E"/>
    <w:rsid w:val="007D69CA"/>
    <w:rsid w:val="007D742E"/>
    <w:rsid w:val="007E0869"/>
    <w:rsid w:val="007E1AEF"/>
    <w:rsid w:val="007E1CB8"/>
    <w:rsid w:val="007E3F36"/>
    <w:rsid w:val="007E44CD"/>
    <w:rsid w:val="007E4FA3"/>
    <w:rsid w:val="007E51DD"/>
    <w:rsid w:val="007E66D3"/>
    <w:rsid w:val="007E710E"/>
    <w:rsid w:val="007E7DC2"/>
    <w:rsid w:val="007F0C71"/>
    <w:rsid w:val="007F1262"/>
    <w:rsid w:val="007F13D3"/>
    <w:rsid w:val="007F21BC"/>
    <w:rsid w:val="007F4A1D"/>
    <w:rsid w:val="007F6620"/>
    <w:rsid w:val="007F6D38"/>
    <w:rsid w:val="007F75EF"/>
    <w:rsid w:val="008004AA"/>
    <w:rsid w:val="008010D1"/>
    <w:rsid w:val="00805FC3"/>
    <w:rsid w:val="00812A90"/>
    <w:rsid w:val="0081352B"/>
    <w:rsid w:val="00816DAC"/>
    <w:rsid w:val="008170B8"/>
    <w:rsid w:val="008216AD"/>
    <w:rsid w:val="00822492"/>
    <w:rsid w:val="008224E2"/>
    <w:rsid w:val="00822719"/>
    <w:rsid w:val="00822A4A"/>
    <w:rsid w:val="00822B6A"/>
    <w:rsid w:val="00823476"/>
    <w:rsid w:val="008271B2"/>
    <w:rsid w:val="00830B3B"/>
    <w:rsid w:val="008314FD"/>
    <w:rsid w:val="00832002"/>
    <w:rsid w:val="00840184"/>
    <w:rsid w:val="00840D6F"/>
    <w:rsid w:val="0084113F"/>
    <w:rsid w:val="008419B3"/>
    <w:rsid w:val="00844B16"/>
    <w:rsid w:val="00845215"/>
    <w:rsid w:val="00845B75"/>
    <w:rsid w:val="00845DB8"/>
    <w:rsid w:val="00847D1D"/>
    <w:rsid w:val="00850A9D"/>
    <w:rsid w:val="00851DFC"/>
    <w:rsid w:val="00854B2B"/>
    <w:rsid w:val="00855923"/>
    <w:rsid w:val="00862899"/>
    <w:rsid w:val="00864764"/>
    <w:rsid w:val="008652DF"/>
    <w:rsid w:val="00871C86"/>
    <w:rsid w:val="00873E03"/>
    <w:rsid w:val="008742D7"/>
    <w:rsid w:val="008753CB"/>
    <w:rsid w:val="008761E8"/>
    <w:rsid w:val="00877FCE"/>
    <w:rsid w:val="00882545"/>
    <w:rsid w:val="00884A52"/>
    <w:rsid w:val="00885A2B"/>
    <w:rsid w:val="00885DC6"/>
    <w:rsid w:val="0088652E"/>
    <w:rsid w:val="00887605"/>
    <w:rsid w:val="00890970"/>
    <w:rsid w:val="0089134F"/>
    <w:rsid w:val="008932FA"/>
    <w:rsid w:val="00896025"/>
    <w:rsid w:val="008960A5"/>
    <w:rsid w:val="008A0188"/>
    <w:rsid w:val="008A0B03"/>
    <w:rsid w:val="008A2179"/>
    <w:rsid w:val="008A31E2"/>
    <w:rsid w:val="008A453C"/>
    <w:rsid w:val="008A7F98"/>
    <w:rsid w:val="008B2F1F"/>
    <w:rsid w:val="008B31E3"/>
    <w:rsid w:val="008B6C68"/>
    <w:rsid w:val="008B7262"/>
    <w:rsid w:val="008C0155"/>
    <w:rsid w:val="008C3A44"/>
    <w:rsid w:val="008C61F1"/>
    <w:rsid w:val="008C7BF2"/>
    <w:rsid w:val="008C7EEC"/>
    <w:rsid w:val="008D335C"/>
    <w:rsid w:val="008D5A51"/>
    <w:rsid w:val="008D77B6"/>
    <w:rsid w:val="008E0093"/>
    <w:rsid w:val="008E24EA"/>
    <w:rsid w:val="008E6024"/>
    <w:rsid w:val="008E6BDA"/>
    <w:rsid w:val="008F45C7"/>
    <w:rsid w:val="008F574F"/>
    <w:rsid w:val="00901E0A"/>
    <w:rsid w:val="00910399"/>
    <w:rsid w:val="00912C19"/>
    <w:rsid w:val="00920671"/>
    <w:rsid w:val="00921E8C"/>
    <w:rsid w:val="00923056"/>
    <w:rsid w:val="00924138"/>
    <w:rsid w:val="0092569F"/>
    <w:rsid w:val="00926BC5"/>
    <w:rsid w:val="00927404"/>
    <w:rsid w:val="009275E8"/>
    <w:rsid w:val="00930409"/>
    <w:rsid w:val="0093172A"/>
    <w:rsid w:val="00931DFF"/>
    <w:rsid w:val="0094066E"/>
    <w:rsid w:val="00941379"/>
    <w:rsid w:val="009419F7"/>
    <w:rsid w:val="00941AE6"/>
    <w:rsid w:val="0094224C"/>
    <w:rsid w:val="00943251"/>
    <w:rsid w:val="009440C6"/>
    <w:rsid w:val="00945793"/>
    <w:rsid w:val="0095200B"/>
    <w:rsid w:val="009538FE"/>
    <w:rsid w:val="00954AD6"/>
    <w:rsid w:val="00954B90"/>
    <w:rsid w:val="0095599D"/>
    <w:rsid w:val="00957402"/>
    <w:rsid w:val="00964516"/>
    <w:rsid w:val="009676C9"/>
    <w:rsid w:val="009677C9"/>
    <w:rsid w:val="009702AD"/>
    <w:rsid w:val="009725ED"/>
    <w:rsid w:val="00974C4A"/>
    <w:rsid w:val="00975615"/>
    <w:rsid w:val="009756BD"/>
    <w:rsid w:val="00982D3B"/>
    <w:rsid w:val="009835D5"/>
    <w:rsid w:val="00984747"/>
    <w:rsid w:val="00985036"/>
    <w:rsid w:val="0098718D"/>
    <w:rsid w:val="00993D29"/>
    <w:rsid w:val="009A058E"/>
    <w:rsid w:val="009A2EC0"/>
    <w:rsid w:val="009A31C8"/>
    <w:rsid w:val="009A415F"/>
    <w:rsid w:val="009A5606"/>
    <w:rsid w:val="009A7EAB"/>
    <w:rsid w:val="009B0E61"/>
    <w:rsid w:val="009B4F41"/>
    <w:rsid w:val="009C082D"/>
    <w:rsid w:val="009C3572"/>
    <w:rsid w:val="009C4D50"/>
    <w:rsid w:val="009D18BF"/>
    <w:rsid w:val="009D2634"/>
    <w:rsid w:val="009D407D"/>
    <w:rsid w:val="009D4ACC"/>
    <w:rsid w:val="009D6453"/>
    <w:rsid w:val="009D7252"/>
    <w:rsid w:val="009E2407"/>
    <w:rsid w:val="009E324A"/>
    <w:rsid w:val="009E400A"/>
    <w:rsid w:val="009E648F"/>
    <w:rsid w:val="009E7B9F"/>
    <w:rsid w:val="009F017E"/>
    <w:rsid w:val="009F15CD"/>
    <w:rsid w:val="009F1ACB"/>
    <w:rsid w:val="009F310F"/>
    <w:rsid w:val="009F4846"/>
    <w:rsid w:val="00A015AC"/>
    <w:rsid w:val="00A01C96"/>
    <w:rsid w:val="00A04240"/>
    <w:rsid w:val="00A05875"/>
    <w:rsid w:val="00A15995"/>
    <w:rsid w:val="00A16AAC"/>
    <w:rsid w:val="00A214DA"/>
    <w:rsid w:val="00A228DE"/>
    <w:rsid w:val="00A27463"/>
    <w:rsid w:val="00A30EF5"/>
    <w:rsid w:val="00A32B7A"/>
    <w:rsid w:val="00A32DF2"/>
    <w:rsid w:val="00A35296"/>
    <w:rsid w:val="00A41924"/>
    <w:rsid w:val="00A41C8F"/>
    <w:rsid w:val="00A44A22"/>
    <w:rsid w:val="00A45C07"/>
    <w:rsid w:val="00A45FAF"/>
    <w:rsid w:val="00A4726B"/>
    <w:rsid w:val="00A508FF"/>
    <w:rsid w:val="00A51035"/>
    <w:rsid w:val="00A51A6E"/>
    <w:rsid w:val="00A5340D"/>
    <w:rsid w:val="00A54F99"/>
    <w:rsid w:val="00A555C8"/>
    <w:rsid w:val="00A56193"/>
    <w:rsid w:val="00A62E4A"/>
    <w:rsid w:val="00A63130"/>
    <w:rsid w:val="00A63EEB"/>
    <w:rsid w:val="00A64AEF"/>
    <w:rsid w:val="00A6526F"/>
    <w:rsid w:val="00A6749E"/>
    <w:rsid w:val="00A67CD7"/>
    <w:rsid w:val="00A70D75"/>
    <w:rsid w:val="00A7133A"/>
    <w:rsid w:val="00A7218A"/>
    <w:rsid w:val="00A728AB"/>
    <w:rsid w:val="00A745E6"/>
    <w:rsid w:val="00A758EB"/>
    <w:rsid w:val="00A75DBB"/>
    <w:rsid w:val="00A7653A"/>
    <w:rsid w:val="00A76AD6"/>
    <w:rsid w:val="00A7722C"/>
    <w:rsid w:val="00A82069"/>
    <w:rsid w:val="00A83677"/>
    <w:rsid w:val="00A838F8"/>
    <w:rsid w:val="00A85EEB"/>
    <w:rsid w:val="00A87198"/>
    <w:rsid w:val="00A90BD0"/>
    <w:rsid w:val="00A923A1"/>
    <w:rsid w:val="00A927BF"/>
    <w:rsid w:val="00A942FB"/>
    <w:rsid w:val="00A95045"/>
    <w:rsid w:val="00A965D0"/>
    <w:rsid w:val="00A96D59"/>
    <w:rsid w:val="00AA004C"/>
    <w:rsid w:val="00AA0152"/>
    <w:rsid w:val="00AA0B08"/>
    <w:rsid w:val="00AA2068"/>
    <w:rsid w:val="00AA2751"/>
    <w:rsid w:val="00AA61E3"/>
    <w:rsid w:val="00AA74A0"/>
    <w:rsid w:val="00AB140D"/>
    <w:rsid w:val="00AB287E"/>
    <w:rsid w:val="00AB3201"/>
    <w:rsid w:val="00AB3236"/>
    <w:rsid w:val="00AB3A8C"/>
    <w:rsid w:val="00AB3F09"/>
    <w:rsid w:val="00AB4411"/>
    <w:rsid w:val="00AB4803"/>
    <w:rsid w:val="00AB598A"/>
    <w:rsid w:val="00AC3832"/>
    <w:rsid w:val="00AC4111"/>
    <w:rsid w:val="00AC42A2"/>
    <w:rsid w:val="00AC46E5"/>
    <w:rsid w:val="00AC6116"/>
    <w:rsid w:val="00AC748A"/>
    <w:rsid w:val="00AC7569"/>
    <w:rsid w:val="00AC7BCF"/>
    <w:rsid w:val="00AD06F0"/>
    <w:rsid w:val="00AD2091"/>
    <w:rsid w:val="00AD399B"/>
    <w:rsid w:val="00AD5A17"/>
    <w:rsid w:val="00AE3523"/>
    <w:rsid w:val="00AE66CE"/>
    <w:rsid w:val="00AE7326"/>
    <w:rsid w:val="00AF0B1E"/>
    <w:rsid w:val="00AF2111"/>
    <w:rsid w:val="00AF267F"/>
    <w:rsid w:val="00AF3EE9"/>
    <w:rsid w:val="00AF5456"/>
    <w:rsid w:val="00AF5786"/>
    <w:rsid w:val="00AF5AEB"/>
    <w:rsid w:val="00B025BD"/>
    <w:rsid w:val="00B0328A"/>
    <w:rsid w:val="00B07560"/>
    <w:rsid w:val="00B077ED"/>
    <w:rsid w:val="00B14695"/>
    <w:rsid w:val="00B155BB"/>
    <w:rsid w:val="00B15652"/>
    <w:rsid w:val="00B15EF1"/>
    <w:rsid w:val="00B20874"/>
    <w:rsid w:val="00B22B3A"/>
    <w:rsid w:val="00B22F1B"/>
    <w:rsid w:val="00B27E45"/>
    <w:rsid w:val="00B30DEA"/>
    <w:rsid w:val="00B31FFE"/>
    <w:rsid w:val="00B4045B"/>
    <w:rsid w:val="00B42501"/>
    <w:rsid w:val="00B42685"/>
    <w:rsid w:val="00B43978"/>
    <w:rsid w:val="00B43D24"/>
    <w:rsid w:val="00B450E9"/>
    <w:rsid w:val="00B45414"/>
    <w:rsid w:val="00B461FB"/>
    <w:rsid w:val="00B46A97"/>
    <w:rsid w:val="00B503A4"/>
    <w:rsid w:val="00B523EC"/>
    <w:rsid w:val="00B52A11"/>
    <w:rsid w:val="00B52BAF"/>
    <w:rsid w:val="00B52F78"/>
    <w:rsid w:val="00B5463F"/>
    <w:rsid w:val="00B54BF6"/>
    <w:rsid w:val="00B54D20"/>
    <w:rsid w:val="00B560DC"/>
    <w:rsid w:val="00B61B10"/>
    <w:rsid w:val="00B64A66"/>
    <w:rsid w:val="00B64DDF"/>
    <w:rsid w:val="00B66232"/>
    <w:rsid w:val="00B66D5C"/>
    <w:rsid w:val="00B67DC8"/>
    <w:rsid w:val="00B71834"/>
    <w:rsid w:val="00B71BA9"/>
    <w:rsid w:val="00B75185"/>
    <w:rsid w:val="00B75251"/>
    <w:rsid w:val="00B7697E"/>
    <w:rsid w:val="00B76E38"/>
    <w:rsid w:val="00B77F01"/>
    <w:rsid w:val="00B8035A"/>
    <w:rsid w:val="00B8368B"/>
    <w:rsid w:val="00B85B4B"/>
    <w:rsid w:val="00B86A03"/>
    <w:rsid w:val="00B87FC4"/>
    <w:rsid w:val="00B91554"/>
    <w:rsid w:val="00B937C8"/>
    <w:rsid w:val="00B94B88"/>
    <w:rsid w:val="00B94C79"/>
    <w:rsid w:val="00B95871"/>
    <w:rsid w:val="00B9640F"/>
    <w:rsid w:val="00BA1D10"/>
    <w:rsid w:val="00BA3374"/>
    <w:rsid w:val="00BA47B1"/>
    <w:rsid w:val="00BA5FD7"/>
    <w:rsid w:val="00BA60A2"/>
    <w:rsid w:val="00BA79F2"/>
    <w:rsid w:val="00BB07E1"/>
    <w:rsid w:val="00BB2476"/>
    <w:rsid w:val="00BB3413"/>
    <w:rsid w:val="00BC08DA"/>
    <w:rsid w:val="00BC2898"/>
    <w:rsid w:val="00BC44AB"/>
    <w:rsid w:val="00BC625A"/>
    <w:rsid w:val="00BC729C"/>
    <w:rsid w:val="00BC7520"/>
    <w:rsid w:val="00BD0641"/>
    <w:rsid w:val="00BD2B5C"/>
    <w:rsid w:val="00BD4253"/>
    <w:rsid w:val="00BD4BAC"/>
    <w:rsid w:val="00BD58D8"/>
    <w:rsid w:val="00BD70E2"/>
    <w:rsid w:val="00BE00AD"/>
    <w:rsid w:val="00BE1A5E"/>
    <w:rsid w:val="00BE339A"/>
    <w:rsid w:val="00BE52F5"/>
    <w:rsid w:val="00BE5A7D"/>
    <w:rsid w:val="00BE6749"/>
    <w:rsid w:val="00BF01F0"/>
    <w:rsid w:val="00BF1CD5"/>
    <w:rsid w:val="00BF29FA"/>
    <w:rsid w:val="00BF3D21"/>
    <w:rsid w:val="00BF6BB3"/>
    <w:rsid w:val="00BF7CD0"/>
    <w:rsid w:val="00C0088F"/>
    <w:rsid w:val="00C065D0"/>
    <w:rsid w:val="00C06671"/>
    <w:rsid w:val="00C10E29"/>
    <w:rsid w:val="00C13A1A"/>
    <w:rsid w:val="00C13D39"/>
    <w:rsid w:val="00C1440C"/>
    <w:rsid w:val="00C15980"/>
    <w:rsid w:val="00C16B6A"/>
    <w:rsid w:val="00C2181F"/>
    <w:rsid w:val="00C24272"/>
    <w:rsid w:val="00C27100"/>
    <w:rsid w:val="00C30631"/>
    <w:rsid w:val="00C32F79"/>
    <w:rsid w:val="00C3449B"/>
    <w:rsid w:val="00C350EF"/>
    <w:rsid w:val="00C40C3F"/>
    <w:rsid w:val="00C428B4"/>
    <w:rsid w:val="00C42FBE"/>
    <w:rsid w:val="00C4685E"/>
    <w:rsid w:val="00C472A9"/>
    <w:rsid w:val="00C514F5"/>
    <w:rsid w:val="00C5192A"/>
    <w:rsid w:val="00C52180"/>
    <w:rsid w:val="00C5256B"/>
    <w:rsid w:val="00C5278D"/>
    <w:rsid w:val="00C52D69"/>
    <w:rsid w:val="00C56B4B"/>
    <w:rsid w:val="00C57D6B"/>
    <w:rsid w:val="00C6016D"/>
    <w:rsid w:val="00C61D60"/>
    <w:rsid w:val="00C637FC"/>
    <w:rsid w:val="00C643DB"/>
    <w:rsid w:val="00C665C8"/>
    <w:rsid w:val="00C67AF7"/>
    <w:rsid w:val="00C71018"/>
    <w:rsid w:val="00C7188B"/>
    <w:rsid w:val="00C730F3"/>
    <w:rsid w:val="00C7436F"/>
    <w:rsid w:val="00C773C3"/>
    <w:rsid w:val="00C81ADB"/>
    <w:rsid w:val="00C8339C"/>
    <w:rsid w:val="00C83E96"/>
    <w:rsid w:val="00C86138"/>
    <w:rsid w:val="00C93662"/>
    <w:rsid w:val="00C93E77"/>
    <w:rsid w:val="00C94CC9"/>
    <w:rsid w:val="00C9508D"/>
    <w:rsid w:val="00C95329"/>
    <w:rsid w:val="00C957AE"/>
    <w:rsid w:val="00C95A04"/>
    <w:rsid w:val="00CA2D3E"/>
    <w:rsid w:val="00CA31B0"/>
    <w:rsid w:val="00CA5FEF"/>
    <w:rsid w:val="00CB05E6"/>
    <w:rsid w:val="00CB1596"/>
    <w:rsid w:val="00CB226C"/>
    <w:rsid w:val="00CB55E0"/>
    <w:rsid w:val="00CB6AF7"/>
    <w:rsid w:val="00CB7152"/>
    <w:rsid w:val="00CC2CFC"/>
    <w:rsid w:val="00CC332E"/>
    <w:rsid w:val="00CC510B"/>
    <w:rsid w:val="00CC5A68"/>
    <w:rsid w:val="00CC66D3"/>
    <w:rsid w:val="00CD00F4"/>
    <w:rsid w:val="00CD138F"/>
    <w:rsid w:val="00CD3F10"/>
    <w:rsid w:val="00CD45FE"/>
    <w:rsid w:val="00CD4C16"/>
    <w:rsid w:val="00CD6F18"/>
    <w:rsid w:val="00CE0368"/>
    <w:rsid w:val="00CF0050"/>
    <w:rsid w:val="00CF0404"/>
    <w:rsid w:val="00CF0E90"/>
    <w:rsid w:val="00CF58DB"/>
    <w:rsid w:val="00CF6B15"/>
    <w:rsid w:val="00CF7628"/>
    <w:rsid w:val="00D040D5"/>
    <w:rsid w:val="00D06D2C"/>
    <w:rsid w:val="00D06D55"/>
    <w:rsid w:val="00D072D9"/>
    <w:rsid w:val="00D07B72"/>
    <w:rsid w:val="00D07C99"/>
    <w:rsid w:val="00D1049A"/>
    <w:rsid w:val="00D106D0"/>
    <w:rsid w:val="00D107BE"/>
    <w:rsid w:val="00D16A19"/>
    <w:rsid w:val="00D201F6"/>
    <w:rsid w:val="00D21705"/>
    <w:rsid w:val="00D24961"/>
    <w:rsid w:val="00D25BDC"/>
    <w:rsid w:val="00D2633B"/>
    <w:rsid w:val="00D26439"/>
    <w:rsid w:val="00D27830"/>
    <w:rsid w:val="00D310A2"/>
    <w:rsid w:val="00D31DDF"/>
    <w:rsid w:val="00D3223B"/>
    <w:rsid w:val="00D3250C"/>
    <w:rsid w:val="00D34FEE"/>
    <w:rsid w:val="00D359B5"/>
    <w:rsid w:val="00D36A62"/>
    <w:rsid w:val="00D377F8"/>
    <w:rsid w:val="00D37E04"/>
    <w:rsid w:val="00D4152D"/>
    <w:rsid w:val="00D43369"/>
    <w:rsid w:val="00D43765"/>
    <w:rsid w:val="00D444C9"/>
    <w:rsid w:val="00D476E6"/>
    <w:rsid w:val="00D52562"/>
    <w:rsid w:val="00D52ADD"/>
    <w:rsid w:val="00D548A2"/>
    <w:rsid w:val="00D57B01"/>
    <w:rsid w:val="00D57C1F"/>
    <w:rsid w:val="00D57D0E"/>
    <w:rsid w:val="00D60E7F"/>
    <w:rsid w:val="00D62482"/>
    <w:rsid w:val="00D64195"/>
    <w:rsid w:val="00D6530A"/>
    <w:rsid w:val="00D65FBE"/>
    <w:rsid w:val="00D66252"/>
    <w:rsid w:val="00D674B7"/>
    <w:rsid w:val="00D679CE"/>
    <w:rsid w:val="00D705B6"/>
    <w:rsid w:val="00D72A49"/>
    <w:rsid w:val="00D73087"/>
    <w:rsid w:val="00D73EB8"/>
    <w:rsid w:val="00D7465C"/>
    <w:rsid w:val="00D752FF"/>
    <w:rsid w:val="00D77060"/>
    <w:rsid w:val="00D7770C"/>
    <w:rsid w:val="00D839A7"/>
    <w:rsid w:val="00D84CA5"/>
    <w:rsid w:val="00D8565F"/>
    <w:rsid w:val="00D85BCF"/>
    <w:rsid w:val="00D87BBF"/>
    <w:rsid w:val="00D90635"/>
    <w:rsid w:val="00D9281E"/>
    <w:rsid w:val="00D940F8"/>
    <w:rsid w:val="00D9516D"/>
    <w:rsid w:val="00D9602C"/>
    <w:rsid w:val="00D96061"/>
    <w:rsid w:val="00D975B4"/>
    <w:rsid w:val="00DA1AA6"/>
    <w:rsid w:val="00DA3998"/>
    <w:rsid w:val="00DA3C23"/>
    <w:rsid w:val="00DA57E4"/>
    <w:rsid w:val="00DB007C"/>
    <w:rsid w:val="00DB1187"/>
    <w:rsid w:val="00DB347C"/>
    <w:rsid w:val="00DB5008"/>
    <w:rsid w:val="00DB644A"/>
    <w:rsid w:val="00DC0CB8"/>
    <w:rsid w:val="00DC181D"/>
    <w:rsid w:val="00DC2635"/>
    <w:rsid w:val="00DC36B5"/>
    <w:rsid w:val="00DC4DF7"/>
    <w:rsid w:val="00DC6406"/>
    <w:rsid w:val="00DC693A"/>
    <w:rsid w:val="00DD3A44"/>
    <w:rsid w:val="00DD5ABA"/>
    <w:rsid w:val="00DE07B7"/>
    <w:rsid w:val="00DE11F3"/>
    <w:rsid w:val="00DE41F8"/>
    <w:rsid w:val="00DE486E"/>
    <w:rsid w:val="00DE4C98"/>
    <w:rsid w:val="00DE4D36"/>
    <w:rsid w:val="00DE59C3"/>
    <w:rsid w:val="00DE6796"/>
    <w:rsid w:val="00DE6D94"/>
    <w:rsid w:val="00DF2660"/>
    <w:rsid w:val="00DF3AE4"/>
    <w:rsid w:val="00E00CFB"/>
    <w:rsid w:val="00E02D09"/>
    <w:rsid w:val="00E02FE8"/>
    <w:rsid w:val="00E06A46"/>
    <w:rsid w:val="00E07787"/>
    <w:rsid w:val="00E078D4"/>
    <w:rsid w:val="00E13480"/>
    <w:rsid w:val="00E14F8A"/>
    <w:rsid w:val="00E16364"/>
    <w:rsid w:val="00E206F8"/>
    <w:rsid w:val="00E207D7"/>
    <w:rsid w:val="00E2357D"/>
    <w:rsid w:val="00E23CBA"/>
    <w:rsid w:val="00E2590F"/>
    <w:rsid w:val="00E25EB7"/>
    <w:rsid w:val="00E2733A"/>
    <w:rsid w:val="00E275E6"/>
    <w:rsid w:val="00E30885"/>
    <w:rsid w:val="00E30987"/>
    <w:rsid w:val="00E31FA5"/>
    <w:rsid w:val="00E33458"/>
    <w:rsid w:val="00E33A89"/>
    <w:rsid w:val="00E345BE"/>
    <w:rsid w:val="00E3473E"/>
    <w:rsid w:val="00E34963"/>
    <w:rsid w:val="00E34BBD"/>
    <w:rsid w:val="00E3522B"/>
    <w:rsid w:val="00E36241"/>
    <w:rsid w:val="00E36CA3"/>
    <w:rsid w:val="00E413CE"/>
    <w:rsid w:val="00E46D2C"/>
    <w:rsid w:val="00E50CF7"/>
    <w:rsid w:val="00E51652"/>
    <w:rsid w:val="00E5254D"/>
    <w:rsid w:val="00E54444"/>
    <w:rsid w:val="00E54E33"/>
    <w:rsid w:val="00E55CF4"/>
    <w:rsid w:val="00E571E2"/>
    <w:rsid w:val="00E60516"/>
    <w:rsid w:val="00E62288"/>
    <w:rsid w:val="00E650C7"/>
    <w:rsid w:val="00E65A59"/>
    <w:rsid w:val="00E72D37"/>
    <w:rsid w:val="00E7492F"/>
    <w:rsid w:val="00E766B3"/>
    <w:rsid w:val="00E779DC"/>
    <w:rsid w:val="00E808B9"/>
    <w:rsid w:val="00E816FE"/>
    <w:rsid w:val="00E81C8E"/>
    <w:rsid w:val="00E8372E"/>
    <w:rsid w:val="00E84E1D"/>
    <w:rsid w:val="00E85787"/>
    <w:rsid w:val="00E85A87"/>
    <w:rsid w:val="00E8616F"/>
    <w:rsid w:val="00E87C43"/>
    <w:rsid w:val="00E91037"/>
    <w:rsid w:val="00E913E4"/>
    <w:rsid w:val="00E95B0F"/>
    <w:rsid w:val="00E9674B"/>
    <w:rsid w:val="00E9677E"/>
    <w:rsid w:val="00E97AC8"/>
    <w:rsid w:val="00EA001C"/>
    <w:rsid w:val="00EA027C"/>
    <w:rsid w:val="00EA59EE"/>
    <w:rsid w:val="00EA6385"/>
    <w:rsid w:val="00EA6743"/>
    <w:rsid w:val="00EA76D0"/>
    <w:rsid w:val="00EA7B89"/>
    <w:rsid w:val="00EB0BCF"/>
    <w:rsid w:val="00EB4951"/>
    <w:rsid w:val="00EB4CA7"/>
    <w:rsid w:val="00EB5A44"/>
    <w:rsid w:val="00EB6B94"/>
    <w:rsid w:val="00EB6C5E"/>
    <w:rsid w:val="00EC11A1"/>
    <w:rsid w:val="00EC1AD4"/>
    <w:rsid w:val="00EC3DA2"/>
    <w:rsid w:val="00EC4714"/>
    <w:rsid w:val="00EC5BCE"/>
    <w:rsid w:val="00EC5CBC"/>
    <w:rsid w:val="00EC5D40"/>
    <w:rsid w:val="00EC742E"/>
    <w:rsid w:val="00ED26AB"/>
    <w:rsid w:val="00ED37BF"/>
    <w:rsid w:val="00ED6CF5"/>
    <w:rsid w:val="00EE1395"/>
    <w:rsid w:val="00EE16A4"/>
    <w:rsid w:val="00EE228B"/>
    <w:rsid w:val="00EE2305"/>
    <w:rsid w:val="00EE6753"/>
    <w:rsid w:val="00EF1C84"/>
    <w:rsid w:val="00EF481F"/>
    <w:rsid w:val="00EF559C"/>
    <w:rsid w:val="00EF6BB7"/>
    <w:rsid w:val="00EF6BBD"/>
    <w:rsid w:val="00F01F87"/>
    <w:rsid w:val="00F0218F"/>
    <w:rsid w:val="00F02E37"/>
    <w:rsid w:val="00F0357E"/>
    <w:rsid w:val="00F044B4"/>
    <w:rsid w:val="00F04929"/>
    <w:rsid w:val="00F0666C"/>
    <w:rsid w:val="00F1088C"/>
    <w:rsid w:val="00F11FA9"/>
    <w:rsid w:val="00F15AD9"/>
    <w:rsid w:val="00F20C44"/>
    <w:rsid w:val="00F21B9A"/>
    <w:rsid w:val="00F26196"/>
    <w:rsid w:val="00F2799C"/>
    <w:rsid w:val="00F33008"/>
    <w:rsid w:val="00F33635"/>
    <w:rsid w:val="00F3452B"/>
    <w:rsid w:val="00F3576F"/>
    <w:rsid w:val="00F35AE0"/>
    <w:rsid w:val="00F37489"/>
    <w:rsid w:val="00F40C49"/>
    <w:rsid w:val="00F425C4"/>
    <w:rsid w:val="00F42A3D"/>
    <w:rsid w:val="00F44ABB"/>
    <w:rsid w:val="00F44BF4"/>
    <w:rsid w:val="00F47E43"/>
    <w:rsid w:val="00F51DC4"/>
    <w:rsid w:val="00F52A74"/>
    <w:rsid w:val="00F538F5"/>
    <w:rsid w:val="00F539C1"/>
    <w:rsid w:val="00F6296A"/>
    <w:rsid w:val="00F6334F"/>
    <w:rsid w:val="00F63B44"/>
    <w:rsid w:val="00F65569"/>
    <w:rsid w:val="00F67825"/>
    <w:rsid w:val="00F71E53"/>
    <w:rsid w:val="00F723A4"/>
    <w:rsid w:val="00F76369"/>
    <w:rsid w:val="00F7683F"/>
    <w:rsid w:val="00F80C49"/>
    <w:rsid w:val="00F819F9"/>
    <w:rsid w:val="00F81A27"/>
    <w:rsid w:val="00F82AE3"/>
    <w:rsid w:val="00F83568"/>
    <w:rsid w:val="00F86403"/>
    <w:rsid w:val="00F87904"/>
    <w:rsid w:val="00F90A78"/>
    <w:rsid w:val="00F91395"/>
    <w:rsid w:val="00F92B6D"/>
    <w:rsid w:val="00F94BE9"/>
    <w:rsid w:val="00F951E9"/>
    <w:rsid w:val="00F957D5"/>
    <w:rsid w:val="00FA00BD"/>
    <w:rsid w:val="00FA5118"/>
    <w:rsid w:val="00FA56C0"/>
    <w:rsid w:val="00FA57C9"/>
    <w:rsid w:val="00FB00E3"/>
    <w:rsid w:val="00FB1262"/>
    <w:rsid w:val="00FB19F8"/>
    <w:rsid w:val="00FB1A54"/>
    <w:rsid w:val="00FB59CC"/>
    <w:rsid w:val="00FB665F"/>
    <w:rsid w:val="00FC08B2"/>
    <w:rsid w:val="00FC0E4B"/>
    <w:rsid w:val="00FC4FC2"/>
    <w:rsid w:val="00FC5860"/>
    <w:rsid w:val="00FC5E7A"/>
    <w:rsid w:val="00FC5F89"/>
    <w:rsid w:val="00FC70E5"/>
    <w:rsid w:val="00FC7939"/>
    <w:rsid w:val="00FD4AF8"/>
    <w:rsid w:val="00FD5048"/>
    <w:rsid w:val="00FD754D"/>
    <w:rsid w:val="00FD7795"/>
    <w:rsid w:val="00FE0706"/>
    <w:rsid w:val="00FE1F22"/>
    <w:rsid w:val="00FE295E"/>
    <w:rsid w:val="00FE3F28"/>
    <w:rsid w:val="00FE5468"/>
    <w:rsid w:val="00FE6EC0"/>
    <w:rsid w:val="00FF0E86"/>
    <w:rsid w:val="00FF1863"/>
    <w:rsid w:val="00FF275C"/>
    <w:rsid w:val="00FF2912"/>
    <w:rsid w:val="00FF3425"/>
    <w:rsid w:val="00FF5E91"/>
    <w:rsid w:val="00FF6EE3"/>
    <w:rsid w:val="00FF7E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8DD6A"/>
  <w15:chartTrackingRefBased/>
  <w15:docId w15:val="{56AC22A0-735F-4F6A-AAE1-2E01BA50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A73"/>
    <w:pPr>
      <w:spacing w:after="0" w:line="360" w:lineRule="auto"/>
      <w:jc w:val="both"/>
    </w:pPr>
    <w:rPr>
      <w:rFonts w:ascii="Century Gothic" w:hAnsi="Century Gothic" w:cs="Arial"/>
      <w:color w:val="000000" w:themeColor="text1"/>
      <w:kern w:val="0"/>
      <w:sz w:val="25"/>
      <w:szCs w:val="25"/>
      <w14:ligatures w14:val="none"/>
    </w:rPr>
  </w:style>
  <w:style w:type="paragraph" w:styleId="Ttulo1">
    <w:name w:val="heading 1"/>
    <w:basedOn w:val="Normal"/>
    <w:next w:val="Normal"/>
    <w:link w:val="Ttulo1Car"/>
    <w:uiPriority w:val="9"/>
    <w:qFormat/>
    <w:rsid w:val="00462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2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2A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462A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2A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2A7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2A7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2A7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2A7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2A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2A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2A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462A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2A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2A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2A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2A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2A73"/>
    <w:rPr>
      <w:rFonts w:eastAsiaTheme="majorEastAsia" w:cstheme="majorBidi"/>
      <w:color w:val="272727" w:themeColor="text1" w:themeTint="D8"/>
    </w:rPr>
  </w:style>
  <w:style w:type="paragraph" w:styleId="Ttulo">
    <w:name w:val="Title"/>
    <w:basedOn w:val="Normal"/>
    <w:next w:val="Normal"/>
    <w:link w:val="TtuloCar"/>
    <w:uiPriority w:val="10"/>
    <w:qFormat/>
    <w:rsid w:val="00462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2A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2A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2A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2A73"/>
    <w:pPr>
      <w:spacing w:before="160"/>
      <w:jc w:val="center"/>
    </w:pPr>
    <w:rPr>
      <w:i/>
      <w:iCs/>
      <w:color w:val="404040" w:themeColor="text1" w:themeTint="BF"/>
    </w:rPr>
  </w:style>
  <w:style w:type="character" w:customStyle="1" w:styleId="CitaCar">
    <w:name w:val="Cita Car"/>
    <w:basedOn w:val="Fuentedeprrafopredeter"/>
    <w:link w:val="Cita"/>
    <w:uiPriority w:val="29"/>
    <w:rsid w:val="00462A73"/>
    <w:rPr>
      <w:i/>
      <w:iCs/>
      <w:color w:val="404040" w:themeColor="text1" w:themeTint="BF"/>
    </w:rPr>
  </w:style>
  <w:style w:type="paragraph" w:styleId="Prrafodelista">
    <w:name w:val="List Paragraph"/>
    <w:aliases w:val="CNBV Parrafo1,Párrafo de lista1,Parrafo 1,Lista multicolor - Énfasis 11,Lista vistosa - Énfasis 11,Cita texto,List Paragraph-Thesis,Cuadrícula media 1 - Énfasis 21,Footnote,List Paragraph2,List Paragraph1,Colorful List - Accent 11,lp1,l"/>
    <w:basedOn w:val="Normal"/>
    <w:link w:val="PrrafodelistaCar"/>
    <w:uiPriority w:val="34"/>
    <w:qFormat/>
    <w:rsid w:val="00462A73"/>
    <w:pPr>
      <w:ind w:left="720"/>
      <w:contextualSpacing/>
    </w:pPr>
  </w:style>
  <w:style w:type="character" w:styleId="nfasisintenso">
    <w:name w:val="Intense Emphasis"/>
    <w:basedOn w:val="Fuentedeprrafopredeter"/>
    <w:uiPriority w:val="21"/>
    <w:qFormat/>
    <w:rsid w:val="00462A73"/>
    <w:rPr>
      <w:i/>
      <w:iCs/>
      <w:color w:val="0F4761" w:themeColor="accent1" w:themeShade="BF"/>
    </w:rPr>
  </w:style>
  <w:style w:type="paragraph" w:styleId="Citadestacada">
    <w:name w:val="Intense Quote"/>
    <w:basedOn w:val="Normal"/>
    <w:next w:val="Normal"/>
    <w:link w:val="CitadestacadaCar"/>
    <w:uiPriority w:val="30"/>
    <w:qFormat/>
    <w:rsid w:val="00462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2A73"/>
    <w:rPr>
      <w:i/>
      <w:iCs/>
      <w:color w:val="0F4761" w:themeColor="accent1" w:themeShade="BF"/>
    </w:rPr>
  </w:style>
  <w:style w:type="character" w:styleId="Referenciaintensa">
    <w:name w:val="Intense Reference"/>
    <w:basedOn w:val="Fuentedeprrafopredeter"/>
    <w:uiPriority w:val="32"/>
    <w:qFormat/>
    <w:rsid w:val="00462A73"/>
    <w:rPr>
      <w:b/>
      <w:bCs/>
      <w:smallCaps/>
      <w:color w:val="0F4761" w:themeColor="accent1" w:themeShade="BF"/>
      <w:spacing w:val="5"/>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Car3,Car3,Ca1,ft"/>
    <w:basedOn w:val="Normal"/>
    <w:link w:val="TextonotapieCar"/>
    <w:uiPriority w:val="99"/>
    <w:unhideWhenUsed/>
    <w:qFormat/>
    <w:rsid w:val="00462A73"/>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462A73"/>
    <w:rPr>
      <w:rFonts w:ascii="Century Gothic" w:hAnsi="Century Gothic" w:cs="Arial"/>
      <w:color w:val="000000" w:themeColor="text1"/>
      <w:kern w:val="0"/>
      <w:sz w:val="20"/>
      <w:szCs w:val="20"/>
      <w14:ligatures w14:val="none"/>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ootnote Reference,Ref"/>
    <w:basedOn w:val="Fuentedeprrafopredeter"/>
    <w:link w:val="4GChar"/>
    <w:uiPriority w:val="99"/>
    <w:unhideWhenUsed/>
    <w:qFormat/>
    <w:rsid w:val="00462A7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462A73"/>
    <w:pPr>
      <w:spacing w:line="240" w:lineRule="auto"/>
    </w:pPr>
    <w:rPr>
      <w:rFonts w:asciiTheme="minorHAnsi" w:hAnsiTheme="minorHAnsi" w:cstheme="minorBidi"/>
      <w:color w:val="auto"/>
      <w:kern w:val="2"/>
      <w:sz w:val="24"/>
      <w:szCs w:val="24"/>
      <w:vertAlign w:val="superscript"/>
      <w14:ligatures w14:val="standardContextual"/>
    </w:rPr>
  </w:style>
  <w:style w:type="character" w:styleId="Hipervnculo">
    <w:name w:val="Hyperlink"/>
    <w:basedOn w:val="Fuentedeprrafopredeter"/>
    <w:unhideWhenUsed/>
    <w:rsid w:val="00462A73"/>
    <w:rPr>
      <w:color w:val="467886" w:themeColor="hyperlink"/>
      <w:u w:val="single"/>
    </w:rPr>
  </w:style>
  <w:style w:type="character" w:styleId="Mencinsinresolver">
    <w:name w:val="Unresolved Mention"/>
    <w:basedOn w:val="Fuentedeprrafopredeter"/>
    <w:uiPriority w:val="99"/>
    <w:semiHidden/>
    <w:unhideWhenUsed/>
    <w:rsid w:val="00462A73"/>
    <w:rPr>
      <w:color w:val="605E5C"/>
      <w:shd w:val="clear" w:color="auto" w:fill="E1DFDD"/>
    </w:rPr>
  </w:style>
  <w:style w:type="paragraph" w:customStyle="1" w:styleId="Prrafosentencia">
    <w:name w:val="Párrafo sentencia"/>
    <w:basedOn w:val="Sinespaciado"/>
    <w:link w:val="PrrafosentenciaCar"/>
    <w:autoRedefine/>
    <w:qFormat/>
    <w:rsid w:val="00462A73"/>
    <w:pPr>
      <w:spacing w:line="360" w:lineRule="auto"/>
      <w:ind w:firstLine="851"/>
    </w:pPr>
    <w:rPr>
      <w:rFonts w:ascii="Arial" w:eastAsia="Calibri" w:hAnsi="Arial"/>
      <w:bCs/>
      <w:color w:val="000000"/>
      <w:sz w:val="28"/>
      <w:szCs w:val="28"/>
    </w:rPr>
  </w:style>
  <w:style w:type="character" w:customStyle="1" w:styleId="PrrafosentenciaCar">
    <w:name w:val="Párrafo sentencia Car"/>
    <w:link w:val="Prrafosentencia"/>
    <w:rsid w:val="00462A73"/>
    <w:rPr>
      <w:rFonts w:ascii="Arial" w:eastAsia="Calibri" w:hAnsi="Arial" w:cs="Arial"/>
      <w:bCs/>
      <w:color w:val="000000"/>
      <w:kern w:val="0"/>
      <w:sz w:val="28"/>
      <w:szCs w:val="28"/>
      <w14:ligatures w14:val="none"/>
    </w:rPr>
  </w:style>
  <w:style w:type="paragraph" w:styleId="Sinespaciado">
    <w:name w:val="No Spacing"/>
    <w:uiPriority w:val="1"/>
    <w:qFormat/>
    <w:rsid w:val="00462A73"/>
    <w:pPr>
      <w:spacing w:after="0" w:line="240" w:lineRule="auto"/>
      <w:jc w:val="both"/>
    </w:pPr>
    <w:rPr>
      <w:rFonts w:ascii="Century Gothic" w:hAnsi="Century Gothic" w:cs="Arial"/>
      <w:color w:val="000000" w:themeColor="text1"/>
      <w:kern w:val="0"/>
      <w:sz w:val="25"/>
      <w:szCs w:val="25"/>
      <w14:ligatures w14:val="none"/>
    </w:rPr>
  </w:style>
  <w:style w:type="paragraph" w:styleId="Textodeglobo">
    <w:name w:val="Balloon Text"/>
    <w:basedOn w:val="Normal"/>
    <w:link w:val="TextodegloboCar"/>
    <w:uiPriority w:val="99"/>
    <w:semiHidden/>
    <w:unhideWhenUsed/>
    <w:rsid w:val="00462A7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2A73"/>
    <w:rPr>
      <w:rFonts w:ascii="Segoe UI" w:hAnsi="Segoe UI" w:cs="Segoe UI"/>
      <w:color w:val="000000" w:themeColor="text1"/>
      <w:kern w:val="0"/>
      <w:sz w:val="18"/>
      <w:szCs w:val="18"/>
      <w14:ligatures w14:val="none"/>
    </w:rPr>
  </w:style>
  <w:style w:type="paragraph" w:styleId="Encabezado">
    <w:name w:val="header"/>
    <w:basedOn w:val="Normal"/>
    <w:link w:val="EncabezadoCar"/>
    <w:uiPriority w:val="99"/>
    <w:unhideWhenUsed/>
    <w:rsid w:val="00462A7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62A73"/>
    <w:rPr>
      <w:rFonts w:ascii="Century Gothic" w:hAnsi="Century Gothic" w:cs="Arial"/>
      <w:color w:val="000000" w:themeColor="text1"/>
      <w:kern w:val="0"/>
      <w:sz w:val="25"/>
      <w:szCs w:val="25"/>
      <w14:ligatures w14:val="none"/>
    </w:rPr>
  </w:style>
  <w:style w:type="paragraph" w:styleId="Piedepgina">
    <w:name w:val="footer"/>
    <w:basedOn w:val="Normal"/>
    <w:link w:val="PiedepginaCar"/>
    <w:uiPriority w:val="99"/>
    <w:unhideWhenUsed/>
    <w:rsid w:val="00462A7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62A73"/>
    <w:rPr>
      <w:rFonts w:ascii="Century Gothic" w:hAnsi="Century Gothic" w:cs="Arial"/>
      <w:color w:val="000000" w:themeColor="text1"/>
      <w:kern w:val="0"/>
      <w:sz w:val="25"/>
      <w:szCs w:val="25"/>
      <w14:ligatures w14:val="none"/>
    </w:rPr>
  </w:style>
  <w:style w:type="paragraph" w:styleId="NormalWeb">
    <w:name w:val="Normal (Web)"/>
    <w:aliases w:val="Normal (Web) Car Car Car,Normal (Web) Car Car Car Car Car, Car Car Ca, Car, C,Car C,C,Normal (Web) Car1,Normal (Web) Car Car,Normal (Web) Car1 Car Car,Normal (Web) Car Car Car Car Car Car Car Car Car Car,Normal (Web) Car Car Car Car Car Car"/>
    <w:basedOn w:val="Normal"/>
    <w:link w:val="NormalWebCar"/>
    <w:uiPriority w:val="99"/>
    <w:qFormat/>
    <w:rsid w:val="00462A73"/>
    <w:pPr>
      <w:spacing w:before="100" w:beforeAutospacing="1" w:after="100" w:afterAutospacing="1" w:line="240" w:lineRule="auto"/>
      <w:jc w:val="left"/>
    </w:pPr>
    <w:rPr>
      <w:rFonts w:ascii="Arial Unicode MS" w:eastAsia="Arial Unicode MS" w:hAnsi="Arial Unicode MS" w:cs="Arial Unicode MS"/>
      <w:color w:val="auto"/>
      <w:sz w:val="24"/>
      <w:szCs w:val="20"/>
      <w:lang w:val="es-ES" w:eastAsia="es-ES"/>
    </w:rPr>
  </w:style>
  <w:style w:type="character" w:customStyle="1" w:styleId="NormalWebCar">
    <w:name w:val="Normal (Web) Car"/>
    <w:aliases w:val="Normal (Web) Car Car Car Car,Normal (Web) Car Car Car Car Car Car1, Car Car Ca Car, Car Car, C Car,Car C Car,C Car,Normal (Web) Car1 Car,Normal (Web) Car Car Car1,Normal (Web) Car1 Car Car Car,Normal (Web) Car Car Car Car Car Car Car"/>
    <w:link w:val="NormalWeb"/>
    <w:uiPriority w:val="99"/>
    <w:qFormat/>
    <w:rsid w:val="00462A73"/>
    <w:rPr>
      <w:rFonts w:ascii="Arial Unicode MS" w:eastAsia="Arial Unicode MS" w:hAnsi="Arial Unicode MS" w:cs="Arial Unicode MS"/>
      <w:kern w:val="0"/>
      <w:szCs w:val="20"/>
      <w:lang w:val="es-ES" w:eastAsia="es-ES"/>
      <w14:ligatures w14:val="none"/>
    </w:rPr>
  </w:style>
  <w:style w:type="character" w:customStyle="1" w:styleId="PrrafodelistaCar">
    <w:name w:val="Párrafo de lista Car"/>
    <w:aliases w:val="CNBV Parrafo1 Car,Párrafo de lista1 Car,Parrafo 1 Car,Lista multicolor - Énfasis 11 Car,Lista vistosa - Énfasis 11 Car,Cita texto Car,List Paragraph-Thesis Car,Cuadrícula media 1 - Énfasis 21 Car,Footnote Car,List Paragraph2 Car"/>
    <w:link w:val="Prrafodelista"/>
    <w:uiPriority w:val="34"/>
    <w:qFormat/>
    <w:locked/>
    <w:rsid w:val="00462A73"/>
  </w:style>
  <w:style w:type="character" w:styleId="Refdecomentario">
    <w:name w:val="annotation reference"/>
    <w:basedOn w:val="Fuentedeprrafopredeter"/>
    <w:uiPriority w:val="99"/>
    <w:semiHidden/>
    <w:unhideWhenUsed/>
    <w:rsid w:val="00462A73"/>
    <w:rPr>
      <w:sz w:val="16"/>
      <w:szCs w:val="16"/>
    </w:rPr>
  </w:style>
  <w:style w:type="paragraph" w:styleId="Textocomentario">
    <w:name w:val="annotation text"/>
    <w:basedOn w:val="Normal"/>
    <w:link w:val="TextocomentarioCar"/>
    <w:uiPriority w:val="99"/>
    <w:semiHidden/>
    <w:unhideWhenUsed/>
    <w:rsid w:val="00462A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2A73"/>
    <w:rPr>
      <w:rFonts w:ascii="Century Gothic" w:hAnsi="Century Gothic" w:cs="Arial"/>
      <w:color w:val="000000" w:themeColor="text1"/>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62A73"/>
    <w:rPr>
      <w:b/>
      <w:bCs/>
    </w:rPr>
  </w:style>
  <w:style w:type="character" w:customStyle="1" w:styleId="AsuntodelcomentarioCar">
    <w:name w:val="Asunto del comentario Car"/>
    <w:basedOn w:val="TextocomentarioCar"/>
    <w:link w:val="Asuntodelcomentario"/>
    <w:uiPriority w:val="99"/>
    <w:semiHidden/>
    <w:rsid w:val="00462A73"/>
    <w:rPr>
      <w:rFonts w:ascii="Century Gothic" w:hAnsi="Century Gothic" w:cs="Arial"/>
      <w:b/>
      <w:bCs/>
      <w:color w:val="000000" w:themeColor="text1"/>
      <w:kern w:val="0"/>
      <w:sz w:val="20"/>
      <w:szCs w:val="20"/>
      <w14:ligatures w14:val="none"/>
    </w:rPr>
  </w:style>
  <w:style w:type="paragraph" w:styleId="TDC1">
    <w:name w:val="toc 1"/>
    <w:next w:val="Normal"/>
    <w:autoRedefine/>
    <w:uiPriority w:val="39"/>
    <w:qFormat/>
    <w:rsid w:val="00462A73"/>
    <w:pPr>
      <w:tabs>
        <w:tab w:val="right" w:leader="dot" w:pos="7979"/>
      </w:tabs>
      <w:spacing w:after="0" w:line="240" w:lineRule="auto"/>
      <w:ind w:left="284" w:hanging="284"/>
    </w:pPr>
    <w:rPr>
      <w:rFonts w:ascii="Century Gothic" w:hAnsi="Century Gothic" w:cs="Arial"/>
      <w:noProof/>
      <w:color w:val="000000" w:themeColor="text1"/>
      <w:kern w:val="0"/>
      <w:sz w:val="20"/>
      <w:szCs w:val="20"/>
      <w14:ligatures w14:val="none"/>
    </w:rPr>
  </w:style>
  <w:style w:type="paragraph" w:styleId="TDC2">
    <w:name w:val="toc 2"/>
    <w:basedOn w:val="Normal"/>
    <w:next w:val="Normal"/>
    <w:autoRedefine/>
    <w:uiPriority w:val="39"/>
    <w:unhideWhenUsed/>
    <w:qFormat/>
    <w:rsid w:val="00462A73"/>
    <w:pPr>
      <w:spacing w:line="240" w:lineRule="auto"/>
      <w:ind w:left="568" w:hanging="284"/>
      <w:jc w:val="left"/>
    </w:pPr>
    <w:rPr>
      <w:rFonts w:cstheme="minorHAnsi"/>
      <w:iCs/>
      <w:sz w:val="20"/>
      <w:szCs w:val="20"/>
    </w:rPr>
  </w:style>
  <w:style w:type="paragraph" w:styleId="TDC3">
    <w:name w:val="toc 3"/>
    <w:basedOn w:val="Normal"/>
    <w:next w:val="Normal"/>
    <w:autoRedefine/>
    <w:uiPriority w:val="39"/>
    <w:unhideWhenUsed/>
    <w:qFormat/>
    <w:rsid w:val="00462A73"/>
    <w:pPr>
      <w:spacing w:line="240" w:lineRule="auto"/>
      <w:ind w:left="851" w:hanging="284"/>
      <w:jc w:val="left"/>
    </w:pPr>
    <w:rPr>
      <w:rFonts w:cstheme="minorHAnsi"/>
      <w:sz w:val="20"/>
      <w:szCs w:val="20"/>
    </w:rPr>
  </w:style>
  <w:style w:type="paragraph" w:styleId="TDC4">
    <w:name w:val="toc 4"/>
    <w:basedOn w:val="Normal"/>
    <w:next w:val="Normal"/>
    <w:autoRedefine/>
    <w:uiPriority w:val="39"/>
    <w:unhideWhenUsed/>
    <w:qFormat/>
    <w:rsid w:val="00462A73"/>
    <w:pPr>
      <w:spacing w:line="240" w:lineRule="auto"/>
      <w:ind w:left="851"/>
      <w:jc w:val="left"/>
    </w:pPr>
    <w:rPr>
      <w:rFonts w:cstheme="minorHAnsi"/>
      <w:sz w:val="20"/>
      <w:szCs w:val="20"/>
    </w:rPr>
  </w:style>
  <w:style w:type="paragraph" w:styleId="TDC5">
    <w:name w:val="toc 5"/>
    <w:basedOn w:val="Normal"/>
    <w:next w:val="Normal"/>
    <w:autoRedefine/>
    <w:uiPriority w:val="39"/>
    <w:unhideWhenUsed/>
    <w:qFormat/>
    <w:rsid w:val="00462A73"/>
    <w:pPr>
      <w:tabs>
        <w:tab w:val="right" w:leader="dot" w:pos="7979"/>
      </w:tabs>
      <w:spacing w:line="240" w:lineRule="auto"/>
      <w:ind w:left="1418" w:hanging="284"/>
      <w:jc w:val="left"/>
    </w:pPr>
    <w:rPr>
      <w:rFonts w:cstheme="minorHAnsi"/>
      <w:sz w:val="20"/>
      <w:szCs w:val="20"/>
    </w:rPr>
  </w:style>
  <w:style w:type="paragraph" w:styleId="TDC6">
    <w:name w:val="toc 6"/>
    <w:basedOn w:val="Normal"/>
    <w:next w:val="Normal"/>
    <w:autoRedefine/>
    <w:uiPriority w:val="39"/>
    <w:unhideWhenUsed/>
    <w:qFormat/>
    <w:rsid w:val="00462A73"/>
    <w:pPr>
      <w:spacing w:line="240" w:lineRule="auto"/>
      <w:ind w:left="1702" w:hanging="284"/>
      <w:jc w:val="left"/>
    </w:pPr>
    <w:rPr>
      <w:rFonts w:cstheme="minorHAnsi"/>
      <w:sz w:val="20"/>
      <w:szCs w:val="20"/>
    </w:rPr>
  </w:style>
  <w:style w:type="table" w:styleId="Tablaconcuadrcula">
    <w:name w:val="Table Grid"/>
    <w:basedOn w:val="Tablanormal"/>
    <w:uiPriority w:val="39"/>
    <w:rsid w:val="00462A73"/>
    <w:pPr>
      <w:spacing w:after="0" w:line="240" w:lineRule="auto"/>
      <w:jc w:val="both"/>
    </w:pPr>
    <w:rPr>
      <w:rFonts w:ascii="Century Gothic" w:hAnsi="Century Gothic" w:cs="Arial"/>
      <w:color w:val="000000" w:themeColor="text1"/>
      <w:kern w:val="0"/>
      <w:sz w:val="25"/>
      <w:szCs w:val="25"/>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4-nfasis6">
    <w:name w:val="List Table 4 Accent 6"/>
    <w:basedOn w:val="Tablanormal"/>
    <w:uiPriority w:val="49"/>
    <w:rsid w:val="00462A73"/>
    <w:pPr>
      <w:spacing w:after="0" w:line="240" w:lineRule="auto"/>
      <w:jc w:val="both"/>
    </w:pPr>
    <w:rPr>
      <w:rFonts w:ascii="Century Gothic" w:hAnsi="Century Gothic" w:cs="Arial"/>
      <w:color w:val="000000" w:themeColor="text1"/>
      <w:kern w:val="0"/>
      <w:sz w:val="25"/>
      <w:szCs w:val="25"/>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customStyle="1" w:styleId="NormalsentenciaCar">
    <w:name w:val="Normal sentencia Car"/>
    <w:basedOn w:val="Fuentedeprrafopredeter"/>
    <w:link w:val="Normalsentencia"/>
    <w:locked/>
    <w:rsid w:val="001F0228"/>
    <w:rPr>
      <w:rFonts w:ascii="Arial" w:hAnsi="Arial" w:cs="Arial"/>
      <w:sz w:val="28"/>
      <w:lang w:val="es-ES" w:eastAsia="es-ES"/>
    </w:rPr>
  </w:style>
  <w:style w:type="paragraph" w:customStyle="1" w:styleId="Normalsentencia">
    <w:name w:val="Normal sentencia"/>
    <w:basedOn w:val="Normal"/>
    <w:link w:val="NormalsentenciaCar"/>
    <w:qFormat/>
    <w:rsid w:val="001F0228"/>
    <w:pPr>
      <w:spacing w:before="240" w:after="120"/>
      <w:ind w:firstLine="709"/>
    </w:pPr>
    <w:rPr>
      <w:rFonts w:ascii="Arial" w:hAnsi="Arial"/>
      <w:color w:val="auto"/>
      <w:kern w:val="2"/>
      <w:sz w:val="28"/>
      <w:szCs w:val="24"/>
      <w:lang w:val="es-ES" w:eastAsia="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3127">
      <w:bodyDiv w:val="1"/>
      <w:marLeft w:val="0"/>
      <w:marRight w:val="0"/>
      <w:marTop w:val="0"/>
      <w:marBottom w:val="0"/>
      <w:divBdr>
        <w:top w:val="none" w:sz="0" w:space="0" w:color="auto"/>
        <w:left w:val="none" w:sz="0" w:space="0" w:color="auto"/>
        <w:bottom w:val="none" w:sz="0" w:space="0" w:color="auto"/>
        <w:right w:val="none" w:sz="0" w:space="0" w:color="auto"/>
      </w:divBdr>
    </w:div>
    <w:div w:id="591623952">
      <w:bodyDiv w:val="1"/>
      <w:marLeft w:val="0"/>
      <w:marRight w:val="0"/>
      <w:marTop w:val="0"/>
      <w:marBottom w:val="0"/>
      <w:divBdr>
        <w:top w:val="none" w:sz="0" w:space="0" w:color="auto"/>
        <w:left w:val="none" w:sz="0" w:space="0" w:color="auto"/>
        <w:bottom w:val="none" w:sz="0" w:space="0" w:color="auto"/>
        <w:right w:val="none" w:sz="0" w:space="0" w:color="auto"/>
      </w:divBdr>
    </w:div>
    <w:div w:id="663582351">
      <w:bodyDiv w:val="1"/>
      <w:marLeft w:val="0"/>
      <w:marRight w:val="0"/>
      <w:marTop w:val="0"/>
      <w:marBottom w:val="0"/>
      <w:divBdr>
        <w:top w:val="none" w:sz="0" w:space="0" w:color="auto"/>
        <w:left w:val="none" w:sz="0" w:space="0" w:color="auto"/>
        <w:bottom w:val="none" w:sz="0" w:space="0" w:color="auto"/>
        <w:right w:val="none" w:sz="0" w:space="0" w:color="auto"/>
      </w:divBdr>
    </w:div>
    <w:div w:id="1065450900">
      <w:bodyDiv w:val="1"/>
      <w:marLeft w:val="0"/>
      <w:marRight w:val="0"/>
      <w:marTop w:val="0"/>
      <w:marBottom w:val="0"/>
      <w:divBdr>
        <w:top w:val="none" w:sz="0" w:space="0" w:color="auto"/>
        <w:left w:val="none" w:sz="0" w:space="0" w:color="auto"/>
        <w:bottom w:val="none" w:sz="0" w:space="0" w:color="auto"/>
        <w:right w:val="none" w:sz="0" w:space="0" w:color="auto"/>
      </w:divBdr>
    </w:div>
    <w:div w:id="1295332754">
      <w:bodyDiv w:val="1"/>
      <w:marLeft w:val="0"/>
      <w:marRight w:val="0"/>
      <w:marTop w:val="0"/>
      <w:marBottom w:val="0"/>
      <w:divBdr>
        <w:top w:val="none" w:sz="0" w:space="0" w:color="auto"/>
        <w:left w:val="none" w:sz="0" w:space="0" w:color="auto"/>
        <w:bottom w:val="none" w:sz="0" w:space="0" w:color="auto"/>
        <w:right w:val="none" w:sz="0" w:space="0" w:color="auto"/>
      </w:divBdr>
    </w:div>
    <w:div w:id="1776556749">
      <w:bodyDiv w:val="1"/>
      <w:marLeft w:val="0"/>
      <w:marRight w:val="0"/>
      <w:marTop w:val="0"/>
      <w:marBottom w:val="0"/>
      <w:divBdr>
        <w:top w:val="none" w:sz="0" w:space="0" w:color="auto"/>
        <w:left w:val="none" w:sz="0" w:space="0" w:color="auto"/>
        <w:bottom w:val="none" w:sz="0" w:space="0" w:color="auto"/>
        <w:right w:val="none" w:sz="0" w:space="0" w:color="auto"/>
      </w:divBdr>
    </w:div>
    <w:div w:id="1891260999">
      <w:bodyDiv w:val="1"/>
      <w:marLeft w:val="0"/>
      <w:marRight w:val="0"/>
      <w:marTop w:val="0"/>
      <w:marBottom w:val="0"/>
      <w:divBdr>
        <w:top w:val="none" w:sz="0" w:space="0" w:color="auto"/>
        <w:left w:val="none" w:sz="0" w:space="0" w:color="auto"/>
        <w:bottom w:val="none" w:sz="0" w:space="0" w:color="auto"/>
        <w:right w:val="none" w:sz="0" w:space="0" w:color="auto"/>
      </w:divBdr>
    </w:div>
    <w:div w:id="214218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4T16:52:13.026"/>
    </inkml:context>
    <inkml:brush xml:id="br0">
      <inkml:brushProperty name="width" value="0.35" units="cm"/>
      <inkml:brushProperty name="height" value="0.35" units="cm"/>
    </inkml:brush>
  </inkml:definitions>
  <inkml:trace contextRef="#ctx0" brushRef="#br0">19 1 24575,'-5'0'0,"-8"0"0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80798-C640-409D-8165-5CD6DA101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1313</Words>
  <Characters>7227</Characters>
  <Application>Microsoft Office Word</Application>
  <DocSecurity>4</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Tomás Toledo;Rosa Iliana Aguilar Curiel</dc:creator>
  <cp:keywords/>
  <dc:description/>
  <cp:lastModifiedBy>Martha Lorena Mendizábal López</cp:lastModifiedBy>
  <cp:revision>2</cp:revision>
  <cp:lastPrinted>2025-07-10T21:00:00Z</cp:lastPrinted>
  <dcterms:created xsi:type="dcterms:W3CDTF">2025-07-30T18:36:00Z</dcterms:created>
  <dcterms:modified xsi:type="dcterms:W3CDTF">2025-07-30T18:36:00Z</dcterms:modified>
</cp:coreProperties>
</file>